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D" w:rsidRPr="001A1B4D" w:rsidRDefault="001A1B4D" w:rsidP="001A1B4D">
      <w:pPr>
        <w:bidi/>
        <w:spacing w:line="360" w:lineRule="auto"/>
        <w:jc w:val="center"/>
        <w:rPr>
          <w:rFonts w:ascii="David" w:eastAsia="Calibri" w:hAnsi="David" w:cs="David" w:hint="cs"/>
          <w:sz w:val="28"/>
          <w:szCs w:val="28"/>
          <w:rtl/>
          <w:lang w:val="en-IN"/>
        </w:rPr>
      </w:pPr>
      <w:bookmarkStart w:id="0" w:name="_Hlk521572952"/>
      <w:r w:rsidRPr="001A1B4D">
        <w:rPr>
          <w:rFonts w:ascii="David" w:eastAsia="Calibri" w:hAnsi="David" w:cs="David"/>
          <w:sz w:val="28"/>
          <w:szCs w:val="28"/>
          <w:rtl/>
          <w:lang w:val="en-IN"/>
        </w:rPr>
        <w:drawing>
          <wp:inline distT="0" distB="0" distL="0" distR="0">
            <wp:extent cx="3529486" cy="1998890"/>
            <wp:effectExtent l="19050" t="19050" r="13814" b="20410"/>
            <wp:docPr id="3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86" cy="1998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D6" w:rsidRPr="003B23BB" w:rsidRDefault="001A25D6" w:rsidP="001A1B4D">
      <w:pPr>
        <w:bidi/>
        <w:spacing w:line="36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  <w:lang w:val="en-IN"/>
        </w:rPr>
      </w:pPr>
      <w:r w:rsidRPr="003B23BB">
        <w:rPr>
          <w:rFonts w:ascii="David" w:eastAsia="Calibri" w:hAnsi="David" w:cs="David"/>
          <w:b/>
          <w:bCs/>
          <w:sz w:val="28"/>
          <w:szCs w:val="28"/>
          <w:rtl/>
          <w:lang w:val="en-IN"/>
        </w:rPr>
        <w:t>חשיפה עצמית יזומה של המטפל:</w:t>
      </w:r>
      <w:r w:rsidRPr="003B23BB">
        <w:rPr>
          <w:rFonts w:ascii="David" w:eastAsia="Calibri" w:hAnsi="David" w:cs="David" w:hint="cs"/>
          <w:b/>
          <w:bCs/>
          <w:sz w:val="28"/>
          <w:szCs w:val="28"/>
          <w:rtl/>
          <w:lang w:val="en-IN"/>
        </w:rPr>
        <w:t xml:space="preserve"> </w:t>
      </w:r>
      <w:r w:rsidRPr="003B23BB">
        <w:rPr>
          <w:rFonts w:ascii="David" w:eastAsia="Calibri" w:hAnsi="David" w:cs="David"/>
          <w:b/>
          <w:bCs/>
          <w:sz w:val="28"/>
          <w:szCs w:val="28"/>
          <w:rtl/>
          <w:lang w:val="en-IN"/>
        </w:rPr>
        <w:t xml:space="preserve">תרומתם של סגנון ההתקשרות של המטפל, </w:t>
      </w:r>
      <w:r w:rsidRPr="003B23BB">
        <w:rPr>
          <w:rFonts w:ascii="David" w:eastAsia="Calibri" w:hAnsi="David" w:cs="David"/>
          <w:b/>
          <w:bCs/>
          <w:sz w:val="28"/>
          <w:szCs w:val="28"/>
          <w:rtl/>
          <w:lang w:val="en-IN"/>
        </w:rPr>
        <w:br/>
        <w:t>מידת היציבות והמוחצנות באישיותו ומאפייני המטופל</w:t>
      </w:r>
    </w:p>
    <w:p w:rsidR="001A25D6" w:rsidRDefault="000B2E4E" w:rsidP="001A25D6">
      <w:pPr>
        <w:bidi/>
        <w:spacing w:after="0" w:line="48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חני פרקש-צ'יין*</w:t>
      </w:r>
    </w:p>
    <w:p w:rsidR="001A25D6" w:rsidRPr="00CA50E4" w:rsidRDefault="007B41E9" w:rsidP="001A1B4D">
      <w:pPr>
        <w:bidi/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B41E9">
        <w:rPr>
          <w:rFonts w:ascii="David" w:eastAsia="Times New Roman" w:hAnsi="David" w:cs="David"/>
          <w:sz w:val="24"/>
          <w:szCs w:val="24"/>
          <w:rtl/>
        </w:rPr>
        <w:t xml:space="preserve">חשיפה עצמית יזומה של המטפל מוגדרת כהצהרה מילולית החושפת מידע אישי אודות המטפל 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>ידועה</w:t>
      </w:r>
      <w:r w:rsidR="001A25D6" w:rsidRPr="003B23B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>כ</w:t>
      </w:r>
      <w:r w:rsidR="001A25D6" w:rsidRPr="003B23BB">
        <w:rPr>
          <w:rFonts w:ascii="David" w:eastAsia="Times New Roman" w:hAnsi="David" w:cs="David"/>
          <w:sz w:val="24"/>
          <w:szCs w:val="24"/>
          <w:rtl/>
        </w:rPr>
        <w:t>מערבת תקשורת אינטימית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>.</w:t>
      </w:r>
      <w:r w:rsidR="001A25D6" w:rsidRPr="003B23B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>לכן, ניתן להניח ש</w:t>
      </w:r>
      <w:r w:rsidR="001A25D6" w:rsidRPr="003B23BB">
        <w:rPr>
          <w:rFonts w:ascii="David" w:eastAsia="Times New Roman" w:hAnsi="David" w:cs="David"/>
          <w:sz w:val="24"/>
          <w:szCs w:val="24"/>
          <w:rtl/>
        </w:rPr>
        <w:t xml:space="preserve">השימוש 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>בה</w:t>
      </w:r>
      <w:r w:rsidR="001A25D6" w:rsidRPr="003B23B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>ישתנה</w:t>
      </w:r>
      <w:r w:rsidR="001A25D6" w:rsidRPr="003B23BB">
        <w:rPr>
          <w:rFonts w:ascii="David" w:eastAsia="Times New Roman" w:hAnsi="David" w:cs="David"/>
          <w:sz w:val="24"/>
          <w:szCs w:val="24"/>
          <w:rtl/>
        </w:rPr>
        <w:t xml:space="preserve"> כתלות בהבדלים בינאישיים ואישיותיים</w:t>
      </w:r>
      <w:r w:rsidR="001A25D6" w:rsidRPr="003B23BB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 w:rsidR="001A25D6" w:rsidRPr="001A25D6">
        <w:rPr>
          <w:rFonts w:ascii="David" w:eastAsia="Times New Roman" w:hAnsi="David" w:cs="David" w:hint="cs"/>
          <w:sz w:val="24"/>
          <w:szCs w:val="24"/>
          <w:rtl/>
        </w:rPr>
        <w:t>המחקר בנוגע ל</w:t>
      </w:r>
      <w:r w:rsidR="0063741A">
        <w:rPr>
          <w:rFonts w:ascii="David" w:eastAsia="Times New Roman" w:hAnsi="David" w:cs="David" w:hint="cs"/>
          <w:sz w:val="24"/>
          <w:szCs w:val="24"/>
          <w:rtl/>
        </w:rPr>
        <w:t xml:space="preserve">חשיפה עצמית של </w:t>
      </w:r>
      <w:r w:rsidR="001A25D6" w:rsidRPr="001A25D6">
        <w:rPr>
          <w:rFonts w:ascii="David" w:eastAsia="Times New Roman" w:hAnsi="David" w:cs="David" w:hint="cs"/>
          <w:sz w:val="24"/>
          <w:szCs w:val="24"/>
          <w:rtl/>
        </w:rPr>
        <w:t xml:space="preserve">מטפלים באוכלוסיות פורנזיות עודנו מועט. </w:t>
      </w:r>
      <w:r w:rsidR="00F45C80">
        <w:rPr>
          <w:rFonts w:ascii="David" w:eastAsia="Calibri" w:hAnsi="David" w:cs="David" w:hint="cs"/>
          <w:sz w:val="24"/>
          <w:szCs w:val="24"/>
          <w:rtl/>
          <w:lang w:val="en-IN"/>
        </w:rPr>
        <w:t>המחקר</w:t>
      </w:r>
      <w:r w:rsidR="0063741A">
        <w:rPr>
          <w:rFonts w:ascii="David" w:eastAsia="Calibri" w:hAnsi="David" w:cs="David" w:hint="cs"/>
          <w:sz w:val="24"/>
          <w:szCs w:val="24"/>
          <w:rtl/>
          <w:lang w:val="en-IN"/>
        </w:rPr>
        <w:t xml:space="preserve"> הנוכחי</w:t>
      </w:r>
      <w:r w:rsidR="00F45C80">
        <w:rPr>
          <w:rFonts w:ascii="David" w:eastAsia="Calibri" w:hAnsi="David" w:cs="David" w:hint="cs"/>
          <w:sz w:val="24"/>
          <w:szCs w:val="24"/>
          <w:rtl/>
          <w:lang w:val="en-IN"/>
        </w:rPr>
        <w:t xml:space="preserve"> נועד</w:t>
      </w:r>
      <w:r w:rsidR="00F64D3A">
        <w:rPr>
          <w:rFonts w:ascii="David" w:eastAsia="Calibri" w:hAnsi="David" w:cs="David" w:hint="cs"/>
          <w:sz w:val="24"/>
          <w:szCs w:val="24"/>
          <w:rtl/>
          <w:lang w:val="en-IN"/>
        </w:rPr>
        <w:t xml:space="preserve"> לבחון את</w:t>
      </w:r>
      <w:r w:rsidR="001A25D6" w:rsidRPr="003B23BB">
        <w:rPr>
          <w:rFonts w:ascii="David" w:eastAsia="Calibri" w:hAnsi="David" w:cs="David" w:hint="cs"/>
          <w:sz w:val="24"/>
          <w:szCs w:val="24"/>
          <w:rtl/>
          <w:lang w:val="en-IN"/>
        </w:rPr>
        <w:t xml:space="preserve"> הקשרים בין חשיפה עצמית של מטפלים לבין </w:t>
      </w:r>
      <w:r w:rsidR="001A25D6" w:rsidRPr="003B23BB">
        <w:rPr>
          <w:rFonts w:ascii="David" w:eastAsia="Calibri" w:hAnsi="David" w:cs="David" w:hint="cs"/>
          <w:sz w:val="24"/>
          <w:szCs w:val="24"/>
          <w:rtl/>
        </w:rPr>
        <w:t>סגנון התקשרותם, ממדי המוחצנות והיציבות באישיותם וסוג המטופלים שלהם</w:t>
      </w:r>
      <w:r w:rsidR="00AC20D0">
        <w:rPr>
          <w:rFonts w:ascii="David" w:eastAsia="Calibri" w:hAnsi="David" w:cs="David"/>
          <w:sz w:val="24"/>
          <w:szCs w:val="24"/>
        </w:rPr>
        <w:t xml:space="preserve"> </w:t>
      </w:r>
      <w:r w:rsidR="00D60308">
        <w:rPr>
          <w:rFonts w:ascii="David" w:eastAsia="Calibri" w:hAnsi="David" w:cs="David" w:hint="cs"/>
          <w:sz w:val="24"/>
          <w:szCs w:val="24"/>
          <w:rtl/>
        </w:rPr>
        <w:t>תוך</w:t>
      </w:r>
      <w:r w:rsidR="00AC20D0">
        <w:rPr>
          <w:rFonts w:ascii="David" w:eastAsia="Calibri" w:hAnsi="David" w:cs="David"/>
          <w:sz w:val="24"/>
          <w:szCs w:val="24"/>
        </w:rPr>
        <w:t xml:space="preserve"> </w:t>
      </w:r>
      <w:r w:rsidR="00D60308">
        <w:rPr>
          <w:rFonts w:ascii="David" w:eastAsia="Calibri" w:hAnsi="David" w:cs="David" w:hint="cs"/>
          <w:sz w:val="24"/>
          <w:szCs w:val="24"/>
          <w:rtl/>
        </w:rPr>
        <w:t xml:space="preserve">שילוב </w:t>
      </w:r>
      <w:r w:rsidR="00CF4640">
        <w:rPr>
          <w:rFonts w:ascii="David" w:eastAsia="Calibri" w:hAnsi="David" w:cs="David" w:hint="cs"/>
          <w:sz w:val="24"/>
          <w:szCs w:val="24"/>
          <w:rtl/>
        </w:rPr>
        <w:t>שיטה כמותית</w:t>
      </w:r>
      <w:r w:rsidR="00D60308">
        <w:rPr>
          <w:rFonts w:ascii="David" w:eastAsia="Calibri" w:hAnsi="David" w:cs="David" w:hint="cs"/>
          <w:sz w:val="24"/>
          <w:szCs w:val="24"/>
          <w:rtl/>
        </w:rPr>
        <w:t xml:space="preserve"> ו</w:t>
      </w:r>
      <w:r w:rsidR="00CF4640">
        <w:rPr>
          <w:rFonts w:ascii="David" w:eastAsia="Calibri" w:hAnsi="David" w:cs="David" w:hint="cs"/>
          <w:sz w:val="24"/>
          <w:szCs w:val="24"/>
          <w:rtl/>
        </w:rPr>
        <w:t>איכותנית.</w:t>
      </w:r>
      <w:r w:rsidR="007E6BCA">
        <w:rPr>
          <w:rFonts w:ascii="David" w:eastAsia="Calibri" w:hAnsi="David" w:cs="David" w:hint="cs"/>
          <w:sz w:val="24"/>
          <w:szCs w:val="24"/>
          <w:rtl/>
        </w:rPr>
        <w:t xml:space="preserve"> במחקר </w:t>
      </w:r>
      <w:r w:rsidR="00D60308">
        <w:rPr>
          <w:rFonts w:ascii="David" w:eastAsia="Calibri" w:hAnsi="David" w:cs="David" w:hint="cs"/>
          <w:sz w:val="24"/>
          <w:szCs w:val="24"/>
          <w:rtl/>
        </w:rPr>
        <w:t>השתתפו</w:t>
      </w:r>
      <w:r w:rsidR="001A25D6" w:rsidRPr="003B23BB">
        <w:rPr>
          <w:rFonts w:ascii="David" w:eastAsia="Calibri" w:hAnsi="David" w:cs="David" w:hint="cs"/>
          <w:sz w:val="24"/>
          <w:szCs w:val="24"/>
          <w:rtl/>
        </w:rPr>
        <w:t xml:space="preserve"> 181 אנשי טיפול המטפלים בנפגעי עבירות מין, בפוגעים מינית ובמטופלים שאינם נמנים על אוכלוסיות אלה</w:t>
      </w:r>
      <w:r w:rsidR="00994459">
        <w:rPr>
          <w:rFonts w:ascii="David" w:eastAsia="Calibri" w:hAnsi="David" w:cs="David" w:hint="cs"/>
          <w:sz w:val="24"/>
          <w:szCs w:val="24"/>
          <w:rtl/>
        </w:rPr>
        <w:t>. המשתתפים</w:t>
      </w:r>
      <w:r w:rsidR="001A25D6" w:rsidRPr="003B23BB">
        <w:rPr>
          <w:rFonts w:ascii="David" w:eastAsia="Calibri" w:hAnsi="David" w:cs="David" w:hint="cs"/>
          <w:sz w:val="24"/>
          <w:szCs w:val="24"/>
          <w:rtl/>
        </w:rPr>
        <w:t xml:space="preserve"> השיבו על שאלוני התקשרות, אישיות וחשיפה עצמית</w:t>
      </w:r>
      <w:r w:rsidR="00994459">
        <w:rPr>
          <w:rFonts w:ascii="David" w:eastAsia="Calibri" w:hAnsi="David" w:cs="David" w:hint="cs"/>
          <w:sz w:val="24"/>
          <w:szCs w:val="24"/>
          <w:rtl/>
        </w:rPr>
        <w:t>,</w:t>
      </w:r>
      <w:r w:rsidR="00994459" w:rsidRPr="003B23B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994459">
        <w:rPr>
          <w:rFonts w:ascii="David" w:eastAsia="Calibri" w:hAnsi="David" w:cs="David" w:hint="cs"/>
          <w:sz w:val="24"/>
          <w:szCs w:val="24"/>
          <w:rtl/>
        </w:rPr>
        <w:t>ו</w:t>
      </w:r>
      <w:r w:rsidR="007F6C8C">
        <w:rPr>
          <w:rFonts w:ascii="David" w:eastAsia="Calibri" w:hAnsi="David" w:cs="David" w:hint="cs"/>
          <w:sz w:val="24"/>
          <w:szCs w:val="24"/>
          <w:rtl/>
        </w:rPr>
        <w:t xml:space="preserve">בנוסף, </w:t>
      </w:r>
      <w:r w:rsidR="00994459">
        <w:rPr>
          <w:rFonts w:ascii="David" w:eastAsia="Calibri" w:hAnsi="David" w:cs="David" w:hint="cs"/>
          <w:sz w:val="24"/>
          <w:szCs w:val="24"/>
          <w:rtl/>
        </w:rPr>
        <w:t xml:space="preserve">על </w:t>
      </w:r>
      <w:r w:rsidR="007F6C8C">
        <w:rPr>
          <w:rFonts w:ascii="David" w:eastAsia="Calibri" w:hAnsi="David" w:cs="David" w:hint="cs"/>
          <w:sz w:val="24"/>
          <w:szCs w:val="24"/>
          <w:rtl/>
        </w:rPr>
        <w:t xml:space="preserve">שאלה פתוחה </w:t>
      </w:r>
      <w:r w:rsidR="007F6C8C" w:rsidRPr="007F6C8C">
        <w:rPr>
          <w:rFonts w:ascii="David" w:eastAsia="Calibri" w:hAnsi="David" w:cs="David" w:hint="cs"/>
          <w:sz w:val="24"/>
          <w:szCs w:val="24"/>
          <w:rtl/>
        </w:rPr>
        <w:t xml:space="preserve">בנוגע לאופן שבו מאפייני המטופל משפיעים (או </w:t>
      </w:r>
      <w:r w:rsidR="0063741A">
        <w:rPr>
          <w:rFonts w:ascii="David" w:eastAsia="Calibri" w:hAnsi="David" w:cs="David" w:hint="cs"/>
          <w:sz w:val="24"/>
          <w:szCs w:val="24"/>
          <w:rtl/>
        </w:rPr>
        <w:t>שאינם משפיעים</w:t>
      </w:r>
      <w:r w:rsidR="007F6C8C" w:rsidRPr="007F6C8C">
        <w:rPr>
          <w:rFonts w:ascii="David" w:eastAsia="Calibri" w:hAnsi="David" w:cs="David" w:hint="cs"/>
          <w:sz w:val="24"/>
          <w:szCs w:val="24"/>
          <w:rtl/>
        </w:rPr>
        <w:t>) על השימוש בחשיפה עצמית.</w:t>
      </w:r>
    </w:p>
    <w:p w:rsidR="001A25D6" w:rsidRPr="00F64D3A" w:rsidRDefault="001A25D6" w:rsidP="001A1B4D">
      <w:pPr>
        <w:bidi/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3B23BB">
        <w:rPr>
          <w:rFonts w:ascii="David" w:eastAsia="Calibri" w:hAnsi="David" w:cs="David" w:hint="cs"/>
          <w:sz w:val="24"/>
          <w:szCs w:val="24"/>
          <w:rtl/>
        </w:rPr>
        <w:t>נמצא מתא</w:t>
      </w:r>
      <w:r>
        <w:rPr>
          <w:rFonts w:ascii="David" w:eastAsia="Calibri" w:hAnsi="David" w:cs="David" w:hint="cs"/>
          <w:sz w:val="24"/>
          <w:szCs w:val="24"/>
          <w:rtl/>
        </w:rPr>
        <w:t>ם</w:t>
      </w:r>
      <w:r w:rsidRPr="003B23BB">
        <w:rPr>
          <w:rFonts w:ascii="David" w:eastAsia="Calibri" w:hAnsi="David" w:cs="David" w:hint="cs"/>
          <w:sz w:val="24"/>
          <w:szCs w:val="24"/>
          <w:rtl/>
        </w:rPr>
        <w:t xml:space="preserve"> חיובי בין ממד היציבות לבין השימוש בחשיפה עצמית. ממד המוחצנות לא קושר </w:t>
      </w:r>
      <w:r w:rsidR="0063741A">
        <w:rPr>
          <w:rFonts w:ascii="David" w:eastAsia="Calibri" w:hAnsi="David" w:cs="David" w:hint="cs"/>
          <w:sz w:val="24"/>
          <w:szCs w:val="24"/>
          <w:rtl/>
        </w:rPr>
        <w:t>ל</w:t>
      </w:r>
      <w:r w:rsidRPr="003B23BB">
        <w:rPr>
          <w:rFonts w:ascii="David" w:eastAsia="Calibri" w:hAnsi="David" w:cs="David" w:hint="cs"/>
          <w:sz w:val="24"/>
          <w:szCs w:val="24"/>
          <w:rtl/>
        </w:rPr>
        <w:t xml:space="preserve">חשיפה עצמית. סגנון התקשרות </w:t>
      </w:r>
      <w:r w:rsidRPr="001A25D6">
        <w:rPr>
          <w:rFonts w:ascii="David" w:eastAsia="Calibri" w:hAnsi="David" w:cs="David" w:hint="cs"/>
          <w:sz w:val="24"/>
          <w:szCs w:val="24"/>
          <w:rtl/>
        </w:rPr>
        <w:t>נמנע</w:t>
      </w:r>
      <w:r w:rsidRPr="003B23BB">
        <w:rPr>
          <w:rFonts w:ascii="David" w:eastAsia="Calibri" w:hAnsi="David" w:cs="David" w:hint="cs"/>
          <w:color w:val="FF0000"/>
          <w:sz w:val="24"/>
          <w:szCs w:val="24"/>
          <w:rtl/>
        </w:rPr>
        <w:t xml:space="preserve"> </w:t>
      </w:r>
      <w:r w:rsidRPr="003B23BB">
        <w:rPr>
          <w:rFonts w:ascii="David" w:eastAsia="Calibri" w:hAnsi="David" w:cs="David" w:hint="cs"/>
          <w:sz w:val="24"/>
          <w:szCs w:val="24"/>
          <w:rtl/>
        </w:rPr>
        <w:t xml:space="preserve">נמצא במתאם שלילי עם שימוש בחשיפה. לא נמצאו הבדלים במידת החשיפה בהתאם לסוג המטופלים. </w:t>
      </w:r>
      <w:r w:rsidRPr="00CF4640">
        <w:rPr>
          <w:rFonts w:ascii="David" w:eastAsia="Times New Roman" w:hAnsi="David" w:cs="David" w:hint="cs"/>
          <w:sz w:val="24"/>
          <w:szCs w:val="24"/>
          <w:rtl/>
        </w:rPr>
        <w:t>נמצאו הבדלים מגדריים בסוגי החשיפה העצמית בהם נעשה שימוש ובגורמים המשפיעים על ההחלטה</w:t>
      </w:r>
      <w:r w:rsidRPr="00CF4640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CF4640" w:rsidRPr="00F64D3A">
        <w:rPr>
          <w:rFonts w:ascii="David" w:eastAsia="Calibri" w:hAnsi="David" w:cs="David" w:hint="cs"/>
          <w:sz w:val="24"/>
          <w:szCs w:val="24"/>
          <w:rtl/>
        </w:rPr>
        <w:t>ניתוח התוכן העלה חמש תמות: ל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חשוף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או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לא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לחשוף</w:t>
      </w:r>
      <w:r w:rsidR="00CF4640" w:rsidRPr="00F64D3A">
        <w:rPr>
          <w:rFonts w:ascii="David" w:eastAsia="Calibri" w:hAnsi="David" w:cs="David" w:hint="cs"/>
          <w:sz w:val="24"/>
          <w:szCs w:val="24"/>
          <w:rtl/>
        </w:rPr>
        <w:t>?</w:t>
      </w:r>
      <w:r w:rsidR="0063741A">
        <w:rPr>
          <w:rFonts w:ascii="David" w:eastAsia="Calibri" w:hAnsi="David" w:cs="David" w:hint="cs"/>
          <w:sz w:val="24"/>
          <w:szCs w:val="24"/>
          <w:rtl/>
        </w:rPr>
        <w:t>,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מטרת החשיפה; תנאים ומצבים לחשיפה; אופן החשיפה</w:t>
      </w:r>
      <w:r w:rsidR="00CF4640" w:rsidRPr="00F64D3A">
        <w:rPr>
          <w:rFonts w:ascii="David" w:eastAsia="Calibri" w:hAnsi="David" w:cs="David" w:hint="cs"/>
          <w:sz w:val="24"/>
          <w:szCs w:val="24"/>
          <w:rtl/>
        </w:rPr>
        <w:t>;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מאפייני המטופל והשפעת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ם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על חשיפה עצמית</w:t>
      </w:r>
      <w:r w:rsidR="00CF4640" w:rsidRPr="00F64D3A">
        <w:rPr>
          <w:rFonts w:ascii="David" w:eastAsia="Calibri" w:hAnsi="David" w:cs="David" w:hint="cs"/>
          <w:sz w:val="24"/>
          <w:szCs w:val="24"/>
          <w:rtl/>
        </w:rPr>
        <w:t xml:space="preserve"> ובתוך כך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סוגיות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ייחודיות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FE4642">
        <w:rPr>
          <w:rFonts w:ascii="David" w:eastAsia="Calibri" w:hAnsi="David" w:cs="David" w:hint="cs"/>
          <w:sz w:val="24"/>
          <w:szCs w:val="24"/>
          <w:rtl/>
        </w:rPr>
        <w:t>ל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מטופלים</w:t>
      </w:r>
      <w:r w:rsidR="00CF4640" w:rsidRPr="00F64D3A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CF4640" w:rsidRPr="00F64D3A">
        <w:rPr>
          <w:rFonts w:ascii="David" w:eastAsia="Calibri" w:hAnsi="David" w:cs="David" w:hint="eastAsia"/>
          <w:sz w:val="24"/>
          <w:szCs w:val="24"/>
          <w:rtl/>
        </w:rPr>
        <w:t>פורנזיים</w:t>
      </w:r>
      <w:r w:rsidR="00CF4640" w:rsidRPr="00F64D3A">
        <w:rPr>
          <w:rFonts w:ascii="David" w:eastAsia="Calibri" w:hAnsi="David" w:cs="David" w:hint="cs"/>
          <w:sz w:val="24"/>
          <w:szCs w:val="24"/>
          <w:rtl/>
        </w:rPr>
        <w:t>.</w:t>
      </w:r>
      <w:r w:rsidR="00F64D3A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63741A">
        <w:rPr>
          <w:rFonts w:ascii="David" w:eastAsia="Calibri" w:hAnsi="David" w:cs="David" w:hint="cs"/>
          <w:sz w:val="24"/>
          <w:szCs w:val="24"/>
          <w:rtl/>
        </w:rPr>
        <w:t>מהמחקר נגזרות</w:t>
      </w:r>
      <w:r w:rsidR="003A2794">
        <w:rPr>
          <w:rFonts w:ascii="David" w:eastAsia="Calibri" w:hAnsi="David" w:cs="David" w:hint="cs"/>
          <w:sz w:val="24"/>
          <w:szCs w:val="24"/>
          <w:rtl/>
        </w:rPr>
        <w:t xml:space="preserve"> מסקנות </w:t>
      </w:r>
      <w:r w:rsidR="0063741A">
        <w:rPr>
          <w:rFonts w:ascii="David" w:eastAsia="Calibri" w:hAnsi="David" w:cs="David" w:hint="cs"/>
          <w:sz w:val="24"/>
          <w:szCs w:val="24"/>
          <w:rtl/>
        </w:rPr>
        <w:t>שמעצימות את</w:t>
      </w:r>
      <w:r w:rsidR="003A2794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3B23BB">
        <w:rPr>
          <w:rFonts w:ascii="David" w:eastAsia="Times New Roman" w:hAnsi="David" w:cs="David" w:hint="cs"/>
          <w:sz w:val="24"/>
          <w:szCs w:val="24"/>
          <w:rtl/>
        </w:rPr>
        <w:t xml:space="preserve">חשיבות ההדרכה לצורך העלאת המודעות של המטפל וסיוע בהרחבת הידע בנוגע לחשיפה עצמית ושימוש מושכל בכלי. </w:t>
      </w:r>
    </w:p>
    <w:p w:rsidR="001A25D6" w:rsidRPr="003B23BB" w:rsidRDefault="001A25D6" w:rsidP="001A1B4D">
      <w:pPr>
        <w:bidi/>
        <w:spacing w:line="360" w:lineRule="auto"/>
        <w:rPr>
          <w:rFonts w:ascii="Calibri" w:eastAsia="Times New Roman" w:hAnsi="Calibri" w:cs="Times New Roman"/>
          <w:rtl/>
        </w:rPr>
      </w:pPr>
    </w:p>
    <w:p w:rsidR="001A25D6" w:rsidRPr="003B23BB" w:rsidRDefault="001A25D6" w:rsidP="001A1B4D">
      <w:pPr>
        <w:bidi/>
        <w:spacing w:after="0" w:line="360" w:lineRule="auto"/>
        <w:jc w:val="both"/>
        <w:rPr>
          <w:rFonts w:ascii="Calibri" w:eastAsia="Times New Roman" w:hAnsi="Calibri" w:cs="David"/>
          <w:sz w:val="24"/>
          <w:szCs w:val="24"/>
          <w:shd w:val="clear" w:color="auto" w:fill="FFFFFF"/>
          <w:rtl/>
        </w:rPr>
      </w:pPr>
      <w:r w:rsidRPr="003B23BB">
        <w:rPr>
          <w:rFonts w:ascii="Calibri" w:eastAsia="Times New Roman" w:hAnsi="Calibri" w:cs="David" w:hint="cs"/>
          <w:sz w:val="24"/>
          <w:szCs w:val="24"/>
          <w:u w:val="single"/>
          <w:shd w:val="clear" w:color="auto" w:fill="FFFFFF"/>
          <w:rtl/>
        </w:rPr>
        <w:t>מילות מפתח</w:t>
      </w:r>
      <w:r w:rsidRPr="003B23BB">
        <w:rPr>
          <w:rFonts w:ascii="Calibri" w:eastAsia="Times New Roman" w:hAnsi="Calibri" w:cs="David" w:hint="cs"/>
          <w:sz w:val="24"/>
          <w:szCs w:val="24"/>
          <w:shd w:val="clear" w:color="auto" w:fill="FFFFFF"/>
          <w:rtl/>
        </w:rPr>
        <w:t xml:space="preserve">: חשיפה עצמית יזומה; סגנון התקשרות; אקסטרוברטיות; </w:t>
      </w:r>
      <w:proofErr w:type="spellStart"/>
      <w:r w:rsidRPr="003B23BB">
        <w:rPr>
          <w:rFonts w:ascii="Calibri" w:eastAsia="Times New Roman" w:hAnsi="Calibri" w:cs="David" w:hint="cs"/>
          <w:sz w:val="24"/>
          <w:szCs w:val="24"/>
          <w:shd w:val="clear" w:color="auto" w:fill="FFFFFF"/>
          <w:rtl/>
        </w:rPr>
        <w:t>נוירוטיציזם</w:t>
      </w:r>
      <w:proofErr w:type="spellEnd"/>
      <w:r w:rsidRPr="003B23BB">
        <w:rPr>
          <w:rFonts w:ascii="Calibri" w:eastAsia="Times New Roman" w:hAnsi="Calibri" w:cs="David" w:hint="cs"/>
          <w:sz w:val="24"/>
          <w:szCs w:val="24"/>
          <w:shd w:val="clear" w:color="auto" w:fill="FFFFFF"/>
          <w:rtl/>
        </w:rPr>
        <w:t>; מטפלים בעברייני מין; מטפלים בקורבנות עבירות מין</w:t>
      </w:r>
    </w:p>
    <w:bookmarkEnd w:id="0"/>
    <w:p w:rsidR="000B2E4E" w:rsidRDefault="000B2E4E" w:rsidP="001A1B4D">
      <w:pPr>
        <w:bidi/>
        <w:spacing w:after="0" w:line="360" w:lineRule="auto"/>
        <w:ind w:left="-58"/>
        <w:jc w:val="both"/>
        <w:rPr>
          <w:rFonts w:ascii="David" w:eastAsia="Calibri" w:hAnsi="David" w:cs="David"/>
          <w:sz w:val="24"/>
          <w:szCs w:val="24"/>
          <w:rtl/>
        </w:rPr>
      </w:pPr>
    </w:p>
    <w:p w:rsidR="000B2E4E" w:rsidRPr="000B2E4E" w:rsidRDefault="000B2E4E" w:rsidP="001A1B4D">
      <w:pPr>
        <w:bidi/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0B2E4E">
        <w:rPr>
          <w:rFonts w:ascii="David" w:eastAsia="Calibri" w:hAnsi="David" w:cs="David"/>
          <w:sz w:val="24"/>
          <w:szCs w:val="24"/>
          <w:rtl/>
        </w:rPr>
        <w:t xml:space="preserve">*חני </w:t>
      </w:r>
      <w:proofErr w:type="spellStart"/>
      <w:r w:rsidRPr="000B2E4E">
        <w:rPr>
          <w:rFonts w:ascii="David" w:eastAsia="Calibri" w:hAnsi="David" w:cs="David"/>
          <w:sz w:val="24"/>
          <w:szCs w:val="24"/>
          <w:rtl/>
        </w:rPr>
        <w:t>פרקש</w:t>
      </w:r>
      <w:proofErr w:type="spellEnd"/>
      <w:r w:rsidRPr="000B2E4E">
        <w:rPr>
          <w:rFonts w:ascii="David" w:eastAsia="Calibri" w:hAnsi="David" w:cs="David"/>
          <w:sz w:val="24"/>
          <w:szCs w:val="24"/>
          <w:rtl/>
        </w:rPr>
        <w:t>-</w:t>
      </w:r>
      <w:proofErr w:type="spellStart"/>
      <w:r w:rsidRPr="000B2E4E">
        <w:rPr>
          <w:rFonts w:ascii="David" w:eastAsia="Calibri" w:hAnsi="David" w:cs="David"/>
          <w:sz w:val="24"/>
          <w:szCs w:val="24"/>
          <w:rtl/>
        </w:rPr>
        <w:t>צ'יין</w:t>
      </w:r>
      <w:proofErr w:type="spellEnd"/>
      <w:r w:rsidRPr="000B2E4E">
        <w:rPr>
          <w:rFonts w:ascii="David" w:eastAsia="Calibri" w:hAnsi="David" w:cs="David"/>
          <w:sz w:val="24"/>
          <w:szCs w:val="24"/>
          <w:rtl/>
        </w:rPr>
        <w:t xml:space="preserve">, </w:t>
      </w:r>
      <w:r w:rsidR="000D0C3A">
        <w:rPr>
          <w:rFonts w:ascii="David" w:eastAsia="Calibri" w:hAnsi="David" w:cs="David" w:hint="cs"/>
          <w:sz w:val="24"/>
          <w:szCs w:val="24"/>
          <w:rtl/>
        </w:rPr>
        <w:t xml:space="preserve">קרימינולוגית קלינית, </w:t>
      </w:r>
      <w:bookmarkStart w:id="1" w:name="_GoBack"/>
      <w:bookmarkEnd w:id="1"/>
      <w:r w:rsidRPr="000B2E4E">
        <w:rPr>
          <w:rFonts w:ascii="David" w:eastAsia="Calibri" w:hAnsi="David" w:cs="David"/>
          <w:sz w:val="24"/>
          <w:szCs w:val="24"/>
          <w:rtl/>
        </w:rPr>
        <w:t xml:space="preserve">המרכז לבריאות הנפש שער מנשה, המחלקה לפסיכיאטריה משפטית. דוא"ל </w:t>
      </w:r>
      <w:hyperlink r:id="rId5" w:history="1">
        <w:r w:rsidRPr="000B2E4E">
          <w:rPr>
            <w:rStyle w:val="Hyperlink"/>
            <w:rFonts w:ascii="David" w:eastAsia="Calibri" w:hAnsi="David" w:cs="David"/>
            <w:sz w:val="24"/>
            <w:szCs w:val="24"/>
          </w:rPr>
          <w:t>farkashanny@gmail.com</w:t>
        </w:r>
      </w:hyperlink>
      <w:r w:rsidRPr="000B2E4E">
        <w:rPr>
          <w:rFonts w:ascii="David" w:eastAsia="Calibri" w:hAnsi="David" w:cs="David"/>
          <w:sz w:val="24"/>
          <w:szCs w:val="24"/>
          <w:rtl/>
        </w:rPr>
        <w:t xml:space="preserve">   נייד: </w:t>
      </w:r>
      <w:r w:rsidRPr="000B2E4E">
        <w:rPr>
          <w:rFonts w:ascii="David" w:hAnsi="David" w:cs="David"/>
          <w:sz w:val="24"/>
          <w:szCs w:val="24"/>
          <w:shd w:val="clear" w:color="auto" w:fill="FFFFFF"/>
        </w:rPr>
        <w:t>054-7467010</w:t>
      </w:r>
      <w:r w:rsidRPr="000B2E4E">
        <w:rPr>
          <w:rFonts w:ascii="David" w:eastAsia="Calibri" w:hAnsi="David" w:cs="David"/>
          <w:sz w:val="24"/>
          <w:szCs w:val="24"/>
          <w:rtl/>
        </w:rPr>
        <w:t xml:space="preserve">. </w:t>
      </w:r>
    </w:p>
    <w:p w:rsidR="000B2E4E" w:rsidRPr="000B2E4E" w:rsidRDefault="000B2E4E" w:rsidP="001A1B4D">
      <w:pPr>
        <w:bidi/>
        <w:spacing w:after="0" w:line="360" w:lineRule="auto"/>
        <w:ind w:left="-58"/>
        <w:jc w:val="both"/>
        <w:rPr>
          <w:rFonts w:ascii="David" w:eastAsia="Calibri" w:hAnsi="David" w:cs="David"/>
          <w:sz w:val="24"/>
          <w:szCs w:val="24"/>
          <w:rtl/>
        </w:rPr>
      </w:pPr>
      <w:r w:rsidRPr="000B2E4E">
        <w:rPr>
          <w:rFonts w:ascii="David" w:eastAsia="Calibri" w:hAnsi="David" w:cs="David"/>
          <w:sz w:val="24"/>
          <w:szCs w:val="24"/>
          <w:rtl/>
        </w:rPr>
        <w:t xml:space="preserve">התקציר מבוסס על </w:t>
      </w:r>
      <w:r w:rsidRPr="000B2E4E">
        <w:rPr>
          <w:rFonts w:ascii="David" w:eastAsia="Calibri" w:hAnsi="David" w:cs="David"/>
          <w:sz w:val="24"/>
          <w:szCs w:val="24"/>
          <w:rtl/>
          <w:lang w:val="en-IN"/>
        </w:rPr>
        <w:t>עבודת תזה ל</w:t>
      </w:r>
      <w:r w:rsidRPr="000B2E4E">
        <w:rPr>
          <w:rFonts w:ascii="David" w:eastAsia="Calibri" w:hAnsi="David" w:cs="David"/>
          <w:sz w:val="24"/>
          <w:szCs w:val="24"/>
          <w:rtl/>
        </w:rPr>
        <w:t>תואר שני בהנחייתה של ד"ר יעל אידיסיס, המחלקה לקרימינולוגיה, אוניברסיטת בר-אילן.</w:t>
      </w:r>
    </w:p>
    <w:p w:rsidR="001A25D6" w:rsidRDefault="001A25D6" w:rsidP="001A1B4D">
      <w:pPr>
        <w:bidi/>
        <w:spacing w:line="360" w:lineRule="auto"/>
      </w:pPr>
    </w:p>
    <w:sectPr w:rsidR="001A25D6" w:rsidSect="00D24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25D6"/>
    <w:rsid w:val="000154DC"/>
    <w:rsid w:val="000B2E4E"/>
    <w:rsid w:val="000D0C3A"/>
    <w:rsid w:val="001A1B4D"/>
    <w:rsid w:val="001A25D6"/>
    <w:rsid w:val="00277937"/>
    <w:rsid w:val="0028290B"/>
    <w:rsid w:val="003A2794"/>
    <w:rsid w:val="00526D13"/>
    <w:rsid w:val="0063741A"/>
    <w:rsid w:val="0069466E"/>
    <w:rsid w:val="007B41E9"/>
    <w:rsid w:val="007E6BCA"/>
    <w:rsid w:val="007F6C8C"/>
    <w:rsid w:val="008407FD"/>
    <w:rsid w:val="008E7D2C"/>
    <w:rsid w:val="00994459"/>
    <w:rsid w:val="009B15A4"/>
    <w:rsid w:val="00AC20D0"/>
    <w:rsid w:val="00CA50E4"/>
    <w:rsid w:val="00CF4640"/>
    <w:rsid w:val="00D24E91"/>
    <w:rsid w:val="00D60308"/>
    <w:rsid w:val="00D94884"/>
    <w:rsid w:val="00F45C80"/>
    <w:rsid w:val="00F64D3A"/>
    <w:rsid w:val="00FE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B2E4E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6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kashann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farkash</dc:creator>
  <cp:lastModifiedBy>user</cp:lastModifiedBy>
  <cp:revision>2</cp:revision>
  <dcterms:created xsi:type="dcterms:W3CDTF">2019-04-07T15:18:00Z</dcterms:created>
  <dcterms:modified xsi:type="dcterms:W3CDTF">2019-04-07T15:18:00Z</dcterms:modified>
</cp:coreProperties>
</file>