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27B2A" w14:textId="3DF7484F" w:rsidR="003078CC" w:rsidRPr="003078CC" w:rsidRDefault="003078CC" w:rsidP="003078C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3078CC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Stakeholder </w:t>
      </w:r>
      <w:r w:rsidR="009F4046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P</w:t>
      </w:r>
      <w:r w:rsidRPr="003078CC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ensions</w:t>
      </w:r>
    </w:p>
    <w:p w14:paraId="300BC50A" w14:textId="77777777" w:rsidR="003078CC" w:rsidRPr="003078CC" w:rsidRDefault="003078CC" w:rsidP="00307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3078CC">
        <w:rPr>
          <w:rFonts w:ascii="Arial" w:eastAsia="Times New Roman" w:hAnsi="Arial" w:cs="Arial"/>
          <w:color w:val="000000"/>
          <w:lang w:eastAsia="en-GB"/>
        </w:rPr>
        <w:t>Stakeholder pensions were introduced from 6 April 2001 and employer arrangements had to be in place, where required, from 8 October 2001. A stakeholder pension is a type of personal pension and further information is given via the ‘Personal pension’ link in the Learning Centre. However, there are stricter compliance requirements for stakeholder pensions and a limit on charges which is lower than the cost of most other arrangements.</w:t>
      </w:r>
      <w:r w:rsidRPr="003078CC">
        <w:rPr>
          <w:rFonts w:ascii="Arial" w:eastAsia="Times New Roman" w:hAnsi="Arial" w:cs="Arial"/>
          <w:color w:val="000000"/>
          <w:lang w:eastAsia="en-GB"/>
        </w:rPr>
        <w:br/>
        <w:t>   </w:t>
      </w:r>
    </w:p>
    <w:p w14:paraId="4E92CEBF" w14:textId="48C52BC0" w:rsidR="003078CC" w:rsidRDefault="003078CC" w:rsidP="00307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3078CC">
        <w:rPr>
          <w:rFonts w:ascii="Arial" w:eastAsia="Times New Roman" w:hAnsi="Arial" w:cs="Arial"/>
          <w:color w:val="000000"/>
          <w:lang w:eastAsia="en-GB"/>
        </w:rPr>
        <w:t>TPR and the FCA monitor compliance requirements.</w:t>
      </w:r>
    </w:p>
    <w:p w14:paraId="4F2C4721" w14:textId="77777777" w:rsidR="003078CC" w:rsidRPr="003078CC" w:rsidRDefault="003078CC" w:rsidP="00307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7112657A" w14:textId="70B1A9C8" w:rsidR="003078CC" w:rsidRDefault="003078CC" w:rsidP="00307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3078CC">
        <w:rPr>
          <w:rFonts w:ascii="Arial" w:eastAsia="Times New Roman" w:hAnsi="Arial" w:cs="Arial"/>
          <w:color w:val="000000"/>
          <w:lang w:eastAsia="en-GB"/>
        </w:rPr>
        <w:t>Up until 1 October 2012, access to a stakeholder pension arrangement had to be offered by any employer with five or more staff, unless it offered an occupational scheme that satisfied certain minimum eligibility criteria, or a group personal pension which met certain standards. The requirement to provide access to a stakeholder pension arrangement was abolished when automatic enrolment was introduced, although employers must continue to deduct and pay across contributions for existing members of a stakeholder scheme.</w:t>
      </w:r>
    </w:p>
    <w:p w14:paraId="6ACB53F7" w14:textId="77777777" w:rsidR="003078CC" w:rsidRPr="003078CC" w:rsidRDefault="003078CC" w:rsidP="00307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69CBEF55" w14:textId="77777777" w:rsidR="003078CC" w:rsidRPr="003078CC" w:rsidRDefault="003078CC" w:rsidP="00307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3078CC">
        <w:rPr>
          <w:rFonts w:ascii="Arial" w:eastAsia="Times New Roman" w:hAnsi="Arial" w:cs="Arial"/>
          <w:color w:val="000000"/>
          <w:lang w:eastAsia="en-GB"/>
        </w:rPr>
        <w:t>Before 6 April 2006, tax relief on contributions to a personal pension was limited to a percentage of qualifying earnings. However, when stakeholder pensions were introduced, contributions could be paid up to £3,600 each year without reference to earnings.</w:t>
      </w:r>
    </w:p>
    <w:p w14:paraId="4FA96D04" w14:textId="77777777" w:rsidR="003078CC" w:rsidRPr="003078CC" w:rsidRDefault="003078CC" w:rsidP="00307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3078CC">
        <w:rPr>
          <w:rFonts w:ascii="Arial" w:eastAsia="Times New Roman" w:hAnsi="Arial" w:cs="Arial"/>
          <w:color w:val="000000"/>
          <w:lang w:eastAsia="en-GB"/>
        </w:rPr>
        <w:t>Employers are not obliged to contribute to stakeholder pension arrangements.</w:t>
      </w:r>
    </w:p>
    <w:p w14:paraId="31C803D4" w14:textId="77777777" w:rsidR="003078CC" w:rsidRPr="003078CC" w:rsidRDefault="003078CC" w:rsidP="00307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3078CC">
        <w:rPr>
          <w:rFonts w:ascii="Arial" w:eastAsia="Times New Roman" w:hAnsi="Arial" w:cs="Arial"/>
          <w:color w:val="000000"/>
          <w:lang w:eastAsia="en-GB"/>
        </w:rPr>
        <w:t> </w:t>
      </w:r>
    </w:p>
    <w:p w14:paraId="61479988" w14:textId="77777777" w:rsidR="003078CC" w:rsidRPr="003078CC" w:rsidRDefault="003078CC" w:rsidP="00307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3078CC">
        <w:rPr>
          <w:rFonts w:ascii="Arial" w:eastAsia="Times New Roman" w:hAnsi="Arial" w:cs="Arial"/>
          <w:color w:val="000000"/>
          <w:lang w:eastAsia="en-GB"/>
        </w:rPr>
        <w:t>Employees can be members of both an occupational pension scheme and have a stakeholder pension at the same time (concurrent membership).</w:t>
      </w:r>
    </w:p>
    <w:p w14:paraId="12D9D51E" w14:textId="77777777" w:rsidR="003078CC" w:rsidRPr="003078CC" w:rsidRDefault="003078CC" w:rsidP="00307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3078CC">
        <w:rPr>
          <w:rFonts w:ascii="Arial" w:eastAsia="Times New Roman" w:hAnsi="Arial" w:cs="Arial"/>
          <w:color w:val="000000"/>
          <w:lang w:eastAsia="en-GB"/>
        </w:rPr>
        <w:t> </w:t>
      </w:r>
    </w:p>
    <w:p w14:paraId="49D1AA27" w14:textId="77777777" w:rsidR="003078CC" w:rsidRPr="003078CC" w:rsidRDefault="003078CC" w:rsidP="00307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3078CC">
        <w:rPr>
          <w:rFonts w:ascii="Arial" w:eastAsia="Times New Roman" w:hAnsi="Arial" w:cs="Arial"/>
          <w:color w:val="000000"/>
          <w:lang w:eastAsia="en-GB"/>
        </w:rPr>
        <w:t>Management charges under a stakeholder scheme are restricted to 1.5% during the plan’s first ten years of existence and 1% p.a. thereafter.</w:t>
      </w:r>
    </w:p>
    <w:p w14:paraId="0B79743C" w14:textId="77777777" w:rsidR="003078CC" w:rsidRPr="003078CC" w:rsidRDefault="003078CC" w:rsidP="00307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3078CC">
        <w:rPr>
          <w:rFonts w:ascii="Arial" w:eastAsia="Times New Roman" w:hAnsi="Arial" w:cs="Arial"/>
          <w:color w:val="000000"/>
          <w:lang w:eastAsia="en-GB"/>
        </w:rPr>
        <w:t> </w:t>
      </w:r>
    </w:p>
    <w:p w14:paraId="4D6CE203" w14:textId="77777777" w:rsidR="003078CC" w:rsidRPr="003078CC" w:rsidRDefault="003078CC" w:rsidP="00307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3078CC">
        <w:rPr>
          <w:rFonts w:ascii="Arial" w:eastAsia="Times New Roman" w:hAnsi="Arial" w:cs="Arial"/>
          <w:color w:val="000000"/>
          <w:lang w:eastAsia="en-GB"/>
        </w:rPr>
        <w:t>Although the trustees or scheme managers determine the range of investment options, they must set a suitable ‘default’ investment option for members who were unable or unwilling to make an investment decision. </w:t>
      </w:r>
    </w:p>
    <w:p w14:paraId="65275A1D" w14:textId="77777777" w:rsidR="003078CC" w:rsidRPr="003078CC" w:rsidRDefault="003078CC" w:rsidP="00307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3078CC">
        <w:rPr>
          <w:rFonts w:ascii="Arial" w:eastAsia="Times New Roman" w:hAnsi="Arial" w:cs="Arial"/>
          <w:color w:val="000000"/>
          <w:lang w:eastAsia="en-GB"/>
        </w:rPr>
        <w:t> </w:t>
      </w:r>
    </w:p>
    <w:p w14:paraId="31B90040" w14:textId="77777777" w:rsidR="003078CC" w:rsidRPr="003078CC" w:rsidRDefault="003078CC" w:rsidP="00307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3078CC">
        <w:rPr>
          <w:rFonts w:ascii="Arial" w:eastAsia="Times New Roman" w:hAnsi="Arial" w:cs="Arial"/>
          <w:color w:val="000000"/>
          <w:lang w:eastAsia="en-GB"/>
        </w:rPr>
        <w:t>This ‘default’ fund must offer a ‘lifestyled’ investment switch so that members’ investments are moved into less volatile asset classes as they approach their chosen retirement age, but only for new members from 6 April 2005.</w:t>
      </w:r>
    </w:p>
    <w:p w14:paraId="214B5871" w14:textId="77777777" w:rsidR="003078CC" w:rsidRPr="003078CC" w:rsidRDefault="003078CC" w:rsidP="00307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3078CC">
        <w:rPr>
          <w:rFonts w:ascii="Arial" w:eastAsia="Times New Roman" w:hAnsi="Arial" w:cs="Arial"/>
          <w:color w:val="000000"/>
          <w:lang w:eastAsia="en-GB"/>
        </w:rPr>
        <w:br/>
        <w:t>Stakeholder pension schemes can be used as qualifying pension schemes for automatic enrolment purposes.</w:t>
      </w:r>
    </w:p>
    <w:p w14:paraId="4E657440" w14:textId="77777777" w:rsidR="003078CC" w:rsidRDefault="003078CC"/>
    <w:sectPr w:rsidR="00307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8CC"/>
    <w:rsid w:val="003078CC"/>
    <w:rsid w:val="009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78851"/>
  <w15:chartTrackingRefBased/>
  <w15:docId w15:val="{B3A6CE1D-0872-4698-A817-A168B13E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7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Keith Hoodless</cp:lastModifiedBy>
  <cp:revision>2</cp:revision>
  <dcterms:created xsi:type="dcterms:W3CDTF">2020-09-29T22:05:00Z</dcterms:created>
  <dcterms:modified xsi:type="dcterms:W3CDTF">2020-09-29T22:09:00Z</dcterms:modified>
</cp:coreProperties>
</file>