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EE5C" w14:textId="5A9AE87B" w:rsidR="00D234D0" w:rsidRPr="00D234D0" w:rsidRDefault="00D234D0">
      <w:pPr>
        <w:rPr>
          <w:rFonts w:ascii="Arial" w:hAnsi="Arial" w:cs="Arial"/>
          <w:b/>
          <w:bCs/>
        </w:rPr>
      </w:pPr>
      <w:r w:rsidRPr="00D234D0">
        <w:rPr>
          <w:rFonts w:ascii="Arial" w:hAnsi="Arial" w:cs="Arial"/>
          <w:b/>
          <w:bCs/>
        </w:rPr>
        <w:t>Regulation and Policing</w:t>
      </w:r>
    </w:p>
    <w:p w14:paraId="03D5971F" w14:textId="101E44D4" w:rsidR="00D234D0" w:rsidRPr="00D234D0" w:rsidRDefault="00D234D0">
      <w:pPr>
        <w:rPr>
          <w:rFonts w:ascii="Arial" w:hAnsi="Arial" w:cs="Arial"/>
          <w:b/>
          <w:bCs/>
        </w:rPr>
      </w:pPr>
      <w:r w:rsidRPr="00D234D0">
        <w:rPr>
          <w:rFonts w:ascii="Arial" w:hAnsi="Arial" w:cs="Arial"/>
          <w:b/>
          <w:bCs/>
        </w:rPr>
        <w:t>Fact Finding</w:t>
      </w:r>
    </w:p>
    <w:p w14:paraId="744335EE" w14:textId="1784D33D" w:rsidR="00D234D0" w:rsidRDefault="00D234D0">
      <w:pPr>
        <w:rPr>
          <w:rFonts w:ascii="Arial" w:hAnsi="Arial" w:cs="Arial"/>
          <w:b/>
          <w:bCs/>
        </w:rPr>
      </w:pPr>
      <w:r w:rsidRPr="00D234D0">
        <w:rPr>
          <w:rFonts w:ascii="Arial" w:hAnsi="Arial" w:cs="Arial"/>
          <w:b/>
          <w:bCs/>
        </w:rPr>
        <w:t>Answers</w:t>
      </w:r>
    </w:p>
    <w:p w14:paraId="5DA88B4C" w14:textId="25F4CF08" w:rsidR="00D234D0" w:rsidRDefault="00D234D0">
      <w:pPr>
        <w:rPr>
          <w:rFonts w:ascii="Arial" w:hAnsi="Arial" w:cs="Arial"/>
          <w:b/>
          <w:bCs/>
        </w:rPr>
      </w:pPr>
    </w:p>
    <w:p w14:paraId="3020F4B8" w14:textId="77777777" w:rsidR="00D234D0" w:rsidRPr="00D234D0" w:rsidRDefault="00D234D0" w:rsidP="00D234D0">
      <w:pPr>
        <w:rPr>
          <w:rFonts w:ascii="Arial" w:hAnsi="Arial" w:cs="Arial"/>
        </w:rPr>
      </w:pPr>
      <w:r w:rsidRPr="00D234D0">
        <w:rPr>
          <w:rFonts w:ascii="Arial" w:hAnsi="Arial" w:cs="Arial"/>
        </w:rPr>
        <w:t>Our powers fall into three categories:</w:t>
      </w:r>
    </w:p>
    <w:p w14:paraId="7B58F614" w14:textId="77777777" w:rsidR="00D234D0" w:rsidRPr="00D234D0" w:rsidRDefault="00D234D0" w:rsidP="00D234D0">
      <w:pPr>
        <w:pStyle w:val="ListParagraph"/>
        <w:numPr>
          <w:ilvl w:val="0"/>
          <w:numId w:val="4"/>
        </w:numPr>
        <w:rPr>
          <w:rFonts w:ascii="Arial" w:hAnsi="Arial" w:cs="Arial"/>
        </w:rPr>
      </w:pPr>
      <w:r w:rsidRPr="00D234D0">
        <w:rPr>
          <w:rFonts w:ascii="Arial" w:hAnsi="Arial" w:cs="Arial"/>
        </w:rPr>
        <w:t>gathering information</w:t>
      </w:r>
    </w:p>
    <w:p w14:paraId="1EE56929" w14:textId="77777777" w:rsidR="00D234D0" w:rsidRPr="00D234D0" w:rsidRDefault="00D234D0" w:rsidP="00D234D0">
      <w:pPr>
        <w:pStyle w:val="ListParagraph"/>
        <w:numPr>
          <w:ilvl w:val="0"/>
          <w:numId w:val="4"/>
        </w:numPr>
        <w:rPr>
          <w:rFonts w:ascii="Arial" w:hAnsi="Arial" w:cs="Arial"/>
        </w:rPr>
      </w:pPr>
      <w:r w:rsidRPr="00D234D0">
        <w:rPr>
          <w:rFonts w:ascii="Arial" w:hAnsi="Arial" w:cs="Arial"/>
        </w:rPr>
        <w:t>regulatory and enforcement action</w:t>
      </w:r>
    </w:p>
    <w:p w14:paraId="6200022A" w14:textId="77777777" w:rsidR="00D234D0" w:rsidRPr="00D234D0" w:rsidRDefault="00D234D0" w:rsidP="00D234D0">
      <w:pPr>
        <w:pStyle w:val="ListParagraph"/>
        <w:numPr>
          <w:ilvl w:val="0"/>
          <w:numId w:val="4"/>
        </w:numPr>
        <w:rPr>
          <w:rFonts w:ascii="Arial" w:hAnsi="Arial" w:cs="Arial"/>
        </w:rPr>
      </w:pPr>
      <w:r w:rsidRPr="00D234D0">
        <w:rPr>
          <w:rFonts w:ascii="Arial" w:hAnsi="Arial" w:cs="Arial"/>
        </w:rPr>
        <w:t>acting against avoidance</w:t>
      </w:r>
    </w:p>
    <w:p w14:paraId="355FEEE8" w14:textId="77777777" w:rsidR="00D234D0" w:rsidRPr="00D234D0" w:rsidRDefault="00D234D0" w:rsidP="00D234D0">
      <w:pPr>
        <w:rPr>
          <w:rFonts w:ascii="Arial" w:hAnsi="Arial" w:cs="Arial"/>
          <w:b/>
          <w:bCs/>
        </w:rPr>
      </w:pPr>
      <w:r w:rsidRPr="00D234D0">
        <w:rPr>
          <w:rFonts w:ascii="Arial" w:hAnsi="Arial" w:cs="Arial"/>
          <w:b/>
          <w:bCs/>
        </w:rPr>
        <w:t>Gathering information</w:t>
      </w:r>
    </w:p>
    <w:p w14:paraId="3C5D1877" w14:textId="77777777" w:rsidR="00D234D0" w:rsidRPr="00D234D0" w:rsidRDefault="00D234D0" w:rsidP="00D234D0">
      <w:pPr>
        <w:rPr>
          <w:rFonts w:ascii="Arial" w:hAnsi="Arial" w:cs="Arial"/>
        </w:rPr>
      </w:pPr>
      <w:r w:rsidRPr="00D234D0">
        <w:rPr>
          <w:rFonts w:ascii="Arial" w:hAnsi="Arial" w:cs="Arial"/>
        </w:rPr>
        <w:t xml:space="preserve">We gather information from </w:t>
      </w:r>
      <w:proofErr w:type="gramStart"/>
      <w:r w:rsidRPr="00D234D0">
        <w:rPr>
          <w:rFonts w:ascii="Arial" w:hAnsi="Arial" w:cs="Arial"/>
        </w:rPr>
        <w:t>a number of</w:t>
      </w:r>
      <w:proofErr w:type="gramEnd"/>
      <w:r w:rsidRPr="00D234D0">
        <w:rPr>
          <w:rFonts w:ascii="Arial" w:hAnsi="Arial" w:cs="Arial"/>
        </w:rPr>
        <w:t xml:space="preserve"> sources to help us identify and monitor risks. These include:</w:t>
      </w:r>
    </w:p>
    <w:p w14:paraId="5A80736E" w14:textId="77777777" w:rsidR="00D234D0" w:rsidRPr="00D234D0" w:rsidRDefault="00D234D0" w:rsidP="00D234D0">
      <w:pPr>
        <w:pStyle w:val="ListParagraph"/>
        <w:numPr>
          <w:ilvl w:val="0"/>
          <w:numId w:val="5"/>
        </w:numPr>
        <w:rPr>
          <w:rFonts w:ascii="Arial" w:hAnsi="Arial" w:cs="Arial"/>
        </w:rPr>
      </w:pPr>
      <w:r w:rsidRPr="00D234D0">
        <w:rPr>
          <w:rFonts w:ascii="Arial" w:hAnsi="Arial" w:cs="Arial"/>
        </w:rPr>
        <w:t>employers’ declarations that they comply with their workplace pension duties</w:t>
      </w:r>
    </w:p>
    <w:p w14:paraId="0CD939E0" w14:textId="3A9F72E0" w:rsidR="00D234D0" w:rsidRPr="00D234D0" w:rsidRDefault="00D234D0" w:rsidP="00D234D0">
      <w:pPr>
        <w:pStyle w:val="ListParagraph"/>
        <w:numPr>
          <w:ilvl w:val="0"/>
          <w:numId w:val="5"/>
        </w:numPr>
        <w:rPr>
          <w:rFonts w:ascii="Arial" w:hAnsi="Arial" w:cs="Arial"/>
        </w:rPr>
      </w:pPr>
      <w:r w:rsidRPr="00D234D0">
        <w:rPr>
          <w:rFonts w:ascii="Arial" w:hAnsi="Arial" w:cs="Arial"/>
        </w:rPr>
        <w:t>scheme returns</w:t>
      </w:r>
    </w:p>
    <w:p w14:paraId="048E03F8" w14:textId="77777777" w:rsidR="00D234D0" w:rsidRPr="00D234D0" w:rsidRDefault="00D234D0" w:rsidP="00D234D0">
      <w:pPr>
        <w:pStyle w:val="ListParagraph"/>
        <w:numPr>
          <w:ilvl w:val="0"/>
          <w:numId w:val="5"/>
        </w:numPr>
        <w:rPr>
          <w:rFonts w:ascii="Arial" w:hAnsi="Arial" w:cs="Arial"/>
        </w:rPr>
      </w:pPr>
      <w:r w:rsidRPr="00D234D0">
        <w:rPr>
          <w:rFonts w:ascii="Arial" w:hAnsi="Arial" w:cs="Arial"/>
        </w:rPr>
        <w:t>reports about breaches of the law – known as ‘whistleblowing reports’</w:t>
      </w:r>
    </w:p>
    <w:p w14:paraId="573B0068" w14:textId="28C46C76" w:rsidR="00D234D0" w:rsidRPr="00D234D0" w:rsidRDefault="00D234D0" w:rsidP="00D234D0">
      <w:pPr>
        <w:pStyle w:val="ListParagraph"/>
        <w:numPr>
          <w:ilvl w:val="0"/>
          <w:numId w:val="5"/>
        </w:numPr>
        <w:rPr>
          <w:rFonts w:ascii="Arial" w:hAnsi="Arial" w:cs="Arial"/>
        </w:rPr>
      </w:pPr>
      <w:r w:rsidRPr="00D234D0">
        <w:rPr>
          <w:rFonts w:ascii="Arial" w:hAnsi="Arial" w:cs="Arial"/>
        </w:rPr>
        <w:t>funding information and documents from defined benefit schemes, such as recovery plans</w:t>
      </w:r>
    </w:p>
    <w:p w14:paraId="0D8B8248" w14:textId="12200215" w:rsidR="00D234D0" w:rsidRPr="00D234D0" w:rsidRDefault="00D234D0" w:rsidP="00D234D0">
      <w:pPr>
        <w:pStyle w:val="ListParagraph"/>
        <w:numPr>
          <w:ilvl w:val="0"/>
          <w:numId w:val="5"/>
        </w:numPr>
        <w:rPr>
          <w:rFonts w:ascii="Arial" w:hAnsi="Arial" w:cs="Arial"/>
        </w:rPr>
      </w:pPr>
      <w:r w:rsidRPr="00D234D0">
        <w:rPr>
          <w:rFonts w:ascii="Arial" w:hAnsi="Arial" w:cs="Arial"/>
        </w:rPr>
        <w:t>notifiable event reports</w:t>
      </w:r>
    </w:p>
    <w:p w14:paraId="3C11B83B" w14:textId="26C38C0A" w:rsidR="00D234D0" w:rsidRPr="00D234D0" w:rsidRDefault="00D234D0" w:rsidP="00D234D0">
      <w:pPr>
        <w:pStyle w:val="ListParagraph"/>
        <w:numPr>
          <w:ilvl w:val="0"/>
          <w:numId w:val="5"/>
        </w:numPr>
        <w:rPr>
          <w:rFonts w:ascii="Arial" w:hAnsi="Arial" w:cs="Arial"/>
        </w:rPr>
      </w:pPr>
      <w:r w:rsidRPr="00D234D0">
        <w:rPr>
          <w:rFonts w:ascii="Arial" w:hAnsi="Arial" w:cs="Arial"/>
        </w:rPr>
        <w:t>research and analysis</w:t>
      </w:r>
    </w:p>
    <w:p w14:paraId="0ED5927E" w14:textId="50A44952" w:rsidR="00D234D0" w:rsidRPr="00D234D0" w:rsidRDefault="00D234D0" w:rsidP="00D234D0">
      <w:pPr>
        <w:pStyle w:val="ListParagraph"/>
        <w:numPr>
          <w:ilvl w:val="0"/>
          <w:numId w:val="5"/>
        </w:numPr>
        <w:rPr>
          <w:rFonts w:ascii="Arial" w:hAnsi="Arial" w:cs="Arial"/>
        </w:rPr>
      </w:pPr>
      <w:r w:rsidRPr="00D234D0">
        <w:rPr>
          <w:rFonts w:ascii="Arial" w:hAnsi="Arial" w:cs="Arial"/>
        </w:rPr>
        <w:t>thematic reviews</w:t>
      </w:r>
    </w:p>
    <w:p w14:paraId="3261A432" w14:textId="77777777" w:rsidR="00D234D0" w:rsidRPr="00D234D0" w:rsidRDefault="00D234D0" w:rsidP="00D234D0">
      <w:pPr>
        <w:rPr>
          <w:rFonts w:ascii="Arial" w:hAnsi="Arial" w:cs="Arial"/>
        </w:rPr>
      </w:pPr>
      <w:r w:rsidRPr="00D234D0">
        <w:rPr>
          <w:rFonts w:ascii="Arial" w:hAnsi="Arial" w:cs="Arial"/>
        </w:rPr>
        <w:t>Where the law allows, we share information with other public bodies. This includes the Pension Protection Fund, HM Revenue and Customs, the Financial Conduct Authority and the Department for Work and Pensions.</w:t>
      </w:r>
    </w:p>
    <w:p w14:paraId="66E4E362" w14:textId="77777777" w:rsidR="00D234D0" w:rsidRPr="00D234D0" w:rsidRDefault="00D234D0" w:rsidP="00D234D0">
      <w:pPr>
        <w:rPr>
          <w:rFonts w:ascii="Arial" w:hAnsi="Arial" w:cs="Arial"/>
        </w:rPr>
      </w:pPr>
      <w:r w:rsidRPr="00D234D0">
        <w:rPr>
          <w:rFonts w:ascii="Arial" w:hAnsi="Arial" w:cs="Arial"/>
        </w:rPr>
        <w:t xml:space="preserve">We use the information we gather to find and </w:t>
      </w:r>
      <w:proofErr w:type="gramStart"/>
      <w:r w:rsidRPr="00D234D0">
        <w:rPr>
          <w:rFonts w:ascii="Arial" w:hAnsi="Arial" w:cs="Arial"/>
        </w:rPr>
        <w:t>look into</w:t>
      </w:r>
      <w:proofErr w:type="gramEnd"/>
      <w:r w:rsidRPr="00D234D0">
        <w:rPr>
          <w:rFonts w:ascii="Arial" w:hAnsi="Arial" w:cs="Arial"/>
        </w:rPr>
        <w:t xml:space="preserve"> potential problems.</w:t>
      </w:r>
    </w:p>
    <w:p w14:paraId="75F422E8" w14:textId="77777777" w:rsidR="00D234D0" w:rsidRPr="00D234D0" w:rsidRDefault="00D234D0" w:rsidP="00D234D0">
      <w:pPr>
        <w:rPr>
          <w:rFonts w:ascii="Arial" w:hAnsi="Arial" w:cs="Arial"/>
          <w:b/>
          <w:bCs/>
        </w:rPr>
      </w:pPr>
      <w:r w:rsidRPr="00D234D0">
        <w:rPr>
          <w:rFonts w:ascii="Arial" w:hAnsi="Arial" w:cs="Arial"/>
          <w:b/>
          <w:bCs/>
        </w:rPr>
        <w:t>Regulatory and enforcement action</w:t>
      </w:r>
    </w:p>
    <w:p w14:paraId="31EC053C" w14:textId="77777777" w:rsidR="00D234D0" w:rsidRPr="00D234D0" w:rsidRDefault="00D234D0" w:rsidP="00D234D0">
      <w:pPr>
        <w:rPr>
          <w:rFonts w:ascii="Arial" w:hAnsi="Arial" w:cs="Arial"/>
        </w:rPr>
      </w:pPr>
      <w:r w:rsidRPr="00D234D0">
        <w:rPr>
          <w:rFonts w:ascii="Arial" w:hAnsi="Arial" w:cs="Arial"/>
        </w:rPr>
        <w:t>We can choose from a range of options if we need to take regulatory and enforcement action. These include:</w:t>
      </w:r>
    </w:p>
    <w:p w14:paraId="46919874" w14:textId="77777777" w:rsidR="00D234D0" w:rsidRPr="00D234D0" w:rsidRDefault="00D234D0" w:rsidP="00D234D0">
      <w:pPr>
        <w:pStyle w:val="ListParagraph"/>
        <w:numPr>
          <w:ilvl w:val="0"/>
          <w:numId w:val="6"/>
        </w:numPr>
        <w:rPr>
          <w:rFonts w:ascii="Arial" w:hAnsi="Arial" w:cs="Arial"/>
        </w:rPr>
      </w:pPr>
      <w:r w:rsidRPr="00D234D0">
        <w:rPr>
          <w:rFonts w:ascii="Arial" w:hAnsi="Arial" w:cs="Arial"/>
        </w:rPr>
        <w:t>issuing notices that require individuals, companies or third parties to take specific action within a certain time</w:t>
      </w:r>
    </w:p>
    <w:p w14:paraId="5A9262D2" w14:textId="77777777" w:rsidR="00D234D0" w:rsidRPr="00D234D0" w:rsidRDefault="00D234D0" w:rsidP="00D234D0">
      <w:pPr>
        <w:pStyle w:val="ListParagraph"/>
        <w:numPr>
          <w:ilvl w:val="0"/>
          <w:numId w:val="6"/>
        </w:numPr>
        <w:rPr>
          <w:rFonts w:ascii="Arial" w:hAnsi="Arial" w:cs="Arial"/>
        </w:rPr>
      </w:pPr>
      <w:r w:rsidRPr="00D234D0">
        <w:rPr>
          <w:rFonts w:ascii="Arial" w:hAnsi="Arial" w:cs="Arial"/>
        </w:rPr>
        <w:t>recovering late or missing payments from an employer on behalf of a scheme</w:t>
      </w:r>
    </w:p>
    <w:p w14:paraId="3CE5F379" w14:textId="77777777" w:rsidR="00D234D0" w:rsidRPr="00D234D0" w:rsidRDefault="00D234D0" w:rsidP="00D234D0">
      <w:pPr>
        <w:pStyle w:val="ListParagraph"/>
        <w:numPr>
          <w:ilvl w:val="0"/>
          <w:numId w:val="6"/>
        </w:numPr>
        <w:rPr>
          <w:rFonts w:ascii="Arial" w:hAnsi="Arial" w:cs="Arial"/>
        </w:rPr>
      </w:pPr>
      <w:r w:rsidRPr="00D234D0">
        <w:rPr>
          <w:rFonts w:ascii="Arial" w:hAnsi="Arial" w:cs="Arial"/>
        </w:rPr>
        <w:t xml:space="preserve">banning trustees who we </w:t>
      </w:r>
      <w:proofErr w:type="gramStart"/>
      <w:r w:rsidRPr="00D234D0">
        <w:rPr>
          <w:rFonts w:ascii="Arial" w:hAnsi="Arial" w:cs="Arial"/>
        </w:rPr>
        <w:t>don’t</w:t>
      </w:r>
      <w:proofErr w:type="gramEnd"/>
      <w:r w:rsidRPr="00D234D0">
        <w:rPr>
          <w:rFonts w:ascii="Arial" w:hAnsi="Arial" w:cs="Arial"/>
        </w:rPr>
        <w:t xml:space="preserve"> consider fit and proper for the role</w:t>
      </w:r>
    </w:p>
    <w:p w14:paraId="5CBA32FC" w14:textId="77777777" w:rsidR="00D234D0" w:rsidRPr="00D234D0" w:rsidRDefault="00D234D0" w:rsidP="00D234D0">
      <w:pPr>
        <w:pStyle w:val="ListParagraph"/>
        <w:numPr>
          <w:ilvl w:val="0"/>
          <w:numId w:val="6"/>
        </w:numPr>
        <w:rPr>
          <w:rFonts w:ascii="Arial" w:hAnsi="Arial" w:cs="Arial"/>
        </w:rPr>
      </w:pPr>
      <w:r w:rsidRPr="00D234D0">
        <w:rPr>
          <w:rFonts w:ascii="Arial" w:hAnsi="Arial" w:cs="Arial"/>
        </w:rPr>
        <w:t>issuing fines for breaches of the law</w:t>
      </w:r>
    </w:p>
    <w:p w14:paraId="6E42D911" w14:textId="77777777" w:rsidR="00D234D0" w:rsidRPr="00D234D0" w:rsidRDefault="00D234D0" w:rsidP="00D234D0">
      <w:pPr>
        <w:pStyle w:val="ListParagraph"/>
        <w:numPr>
          <w:ilvl w:val="0"/>
          <w:numId w:val="6"/>
        </w:numPr>
        <w:rPr>
          <w:rFonts w:ascii="Arial" w:hAnsi="Arial" w:cs="Arial"/>
        </w:rPr>
      </w:pPr>
      <w:r w:rsidRPr="00D234D0">
        <w:rPr>
          <w:rFonts w:ascii="Arial" w:hAnsi="Arial" w:cs="Arial"/>
        </w:rPr>
        <w:t>prosecuting certain offences in the criminal courts</w:t>
      </w:r>
    </w:p>
    <w:p w14:paraId="158E541E" w14:textId="77777777" w:rsidR="00D234D0" w:rsidRPr="00D234D0" w:rsidRDefault="00D234D0" w:rsidP="00D234D0">
      <w:pPr>
        <w:pStyle w:val="ListParagraph"/>
        <w:numPr>
          <w:ilvl w:val="0"/>
          <w:numId w:val="6"/>
        </w:numPr>
        <w:rPr>
          <w:rFonts w:ascii="Arial" w:hAnsi="Arial" w:cs="Arial"/>
        </w:rPr>
      </w:pPr>
      <w:r w:rsidRPr="00D234D0">
        <w:rPr>
          <w:rFonts w:ascii="Arial" w:hAnsi="Arial" w:cs="Arial"/>
        </w:rPr>
        <w:t>appointing a trustee to a scheme to enable it to be run effectively</w:t>
      </w:r>
    </w:p>
    <w:p w14:paraId="103DCEF4" w14:textId="77777777" w:rsidR="00D234D0" w:rsidRPr="00D234D0" w:rsidRDefault="00D234D0" w:rsidP="00D234D0">
      <w:pPr>
        <w:rPr>
          <w:rFonts w:ascii="Arial" w:hAnsi="Arial" w:cs="Arial"/>
          <w:b/>
          <w:bCs/>
        </w:rPr>
      </w:pPr>
      <w:r w:rsidRPr="00D234D0">
        <w:rPr>
          <w:rFonts w:ascii="Arial" w:hAnsi="Arial" w:cs="Arial"/>
          <w:b/>
          <w:bCs/>
        </w:rPr>
        <w:t>Acting against avoidance</w:t>
      </w:r>
    </w:p>
    <w:p w14:paraId="2E392821" w14:textId="532299CD" w:rsidR="00D234D0" w:rsidRPr="00D234D0" w:rsidRDefault="00D234D0" w:rsidP="00D234D0">
      <w:pPr>
        <w:rPr>
          <w:rFonts w:ascii="Arial" w:hAnsi="Arial" w:cs="Arial"/>
        </w:rPr>
      </w:pPr>
      <w:r w:rsidRPr="00D234D0">
        <w:rPr>
          <w:rFonts w:ascii="Arial" w:hAnsi="Arial" w:cs="Arial"/>
        </w:rPr>
        <w:t>We have powers to act where an employer with a defined benefit scheme tries to avoid their pension obligations. In some cases, the target for TPR action may include those associated or connected to the employer. For more information, read about our anti-avoidance powers.</w:t>
      </w:r>
    </w:p>
    <w:p w14:paraId="3BB73961" w14:textId="77777777" w:rsidR="00D234D0" w:rsidRPr="00D234D0" w:rsidRDefault="00D234D0">
      <w:pPr>
        <w:rPr>
          <w:rFonts w:ascii="Arial" w:hAnsi="Arial" w:cs="Arial"/>
          <w:b/>
          <w:bCs/>
        </w:rPr>
      </w:pPr>
    </w:p>
    <w:sectPr w:rsidR="00D234D0" w:rsidRPr="00D2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D50B5"/>
    <w:multiLevelType w:val="hybridMultilevel"/>
    <w:tmpl w:val="F24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4278D"/>
    <w:multiLevelType w:val="multilevel"/>
    <w:tmpl w:val="0360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405E2"/>
    <w:multiLevelType w:val="hybridMultilevel"/>
    <w:tmpl w:val="E146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D415D"/>
    <w:multiLevelType w:val="hybridMultilevel"/>
    <w:tmpl w:val="64CE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64241"/>
    <w:multiLevelType w:val="multilevel"/>
    <w:tmpl w:val="0300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F4DA1"/>
    <w:multiLevelType w:val="multilevel"/>
    <w:tmpl w:val="A6BA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D0"/>
    <w:rsid w:val="00D2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BB6B"/>
  <w15:chartTrackingRefBased/>
  <w15:docId w15:val="{38D2A0FB-D720-4F01-8732-F361A862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34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4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23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34D0"/>
    <w:rPr>
      <w:color w:val="0000FF"/>
      <w:u w:val="single"/>
    </w:rPr>
  </w:style>
  <w:style w:type="paragraph" w:styleId="ListParagraph">
    <w:name w:val="List Paragraph"/>
    <w:basedOn w:val="Normal"/>
    <w:uiPriority w:val="34"/>
    <w:qFormat/>
    <w:rsid w:val="00D2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Hoodless</dc:creator>
  <cp:keywords/>
  <dc:description/>
  <cp:lastModifiedBy>Keith Hoodless</cp:lastModifiedBy>
  <cp:revision>1</cp:revision>
  <dcterms:created xsi:type="dcterms:W3CDTF">2020-09-28T19:53:00Z</dcterms:created>
  <dcterms:modified xsi:type="dcterms:W3CDTF">2020-09-28T19:57:00Z</dcterms:modified>
</cp:coreProperties>
</file>