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A095D" w:rsidRDefault="002C0DC9">
      <w:pPr>
        <w:bidi/>
        <w:spacing w:after="120" w:line="360" w:lineRule="auto"/>
        <w:ind w:left="14"/>
        <w:jc w:val="center"/>
        <w:rPr>
          <w:b/>
          <w:sz w:val="26"/>
          <w:szCs w:val="26"/>
        </w:rPr>
      </w:pPr>
      <w:bookmarkStart w:id="0" w:name="_GoBack"/>
      <w:bookmarkEnd w:id="0"/>
      <w:r>
        <w:rPr>
          <w:b/>
          <w:sz w:val="26"/>
          <w:szCs w:val="26"/>
          <w:rtl/>
        </w:rPr>
        <w:t>כך מנהיג הקב"ה את עולמו</w:t>
      </w:r>
    </w:p>
    <w:p w14:paraId="00000002" w14:textId="77777777" w:rsidR="009A095D" w:rsidRDefault="009A095D">
      <w:pPr>
        <w:bidi/>
        <w:spacing w:after="120" w:line="360" w:lineRule="auto"/>
        <w:jc w:val="center"/>
        <w:rPr>
          <w:sz w:val="24"/>
          <w:szCs w:val="24"/>
        </w:rPr>
      </w:pPr>
    </w:p>
    <w:p w14:paraId="00000003" w14:textId="77777777" w:rsidR="009A095D" w:rsidRDefault="002C0DC9">
      <w:pPr>
        <w:bidi/>
        <w:spacing w:after="120" w:line="360" w:lineRule="auto"/>
        <w:jc w:val="center"/>
        <w:rPr>
          <w:b/>
          <w:sz w:val="24"/>
          <w:szCs w:val="24"/>
        </w:rPr>
      </w:pPr>
      <w:r>
        <w:rPr>
          <w:b/>
          <w:sz w:val="24"/>
          <w:szCs w:val="24"/>
          <w:rtl/>
        </w:rPr>
        <w:t>שיח שרפי קודש, ב', א-פ"ו</w:t>
      </w:r>
    </w:p>
    <w:p w14:paraId="00000004" w14:textId="77777777" w:rsidR="009A095D" w:rsidRDefault="002C0DC9">
      <w:pPr>
        <w:tabs>
          <w:tab w:val="left" w:pos="7928"/>
        </w:tabs>
        <w:bidi/>
        <w:spacing w:after="80" w:line="360" w:lineRule="auto"/>
        <w:ind w:left="908" w:right="990"/>
        <w:jc w:val="both"/>
        <w:rPr>
          <w:sz w:val="20"/>
          <w:szCs w:val="20"/>
        </w:rPr>
      </w:pPr>
      <w:r>
        <w:rPr>
          <w:sz w:val="20"/>
          <w:szCs w:val="20"/>
          <w:rtl/>
        </w:rPr>
        <w:t xml:space="preserve">פעם כשדבר רבנו מדרכי ה' הנעלמים </w:t>
      </w:r>
      <w:proofErr w:type="spellStart"/>
      <w:r>
        <w:rPr>
          <w:sz w:val="20"/>
          <w:szCs w:val="20"/>
          <w:rtl/>
        </w:rPr>
        <w:t>ומענין</w:t>
      </w:r>
      <w:proofErr w:type="spellEnd"/>
      <w:r>
        <w:rPr>
          <w:sz w:val="20"/>
          <w:szCs w:val="20"/>
          <w:rtl/>
        </w:rPr>
        <w:t xml:space="preserve"> שאין שום שכל להבין נפלאות דרכי ה' סיפר –</w:t>
      </w:r>
    </w:p>
    <w:p w14:paraId="00000005" w14:textId="77777777" w:rsidR="009A095D" w:rsidRDefault="002C0DC9">
      <w:pPr>
        <w:tabs>
          <w:tab w:val="left" w:pos="7928"/>
        </w:tabs>
        <w:bidi/>
        <w:spacing w:after="80" w:line="360" w:lineRule="auto"/>
        <w:ind w:left="908" w:right="990"/>
        <w:jc w:val="both"/>
        <w:rPr>
          <w:sz w:val="20"/>
          <w:szCs w:val="20"/>
        </w:rPr>
      </w:pPr>
      <w:r>
        <w:rPr>
          <w:sz w:val="20"/>
          <w:szCs w:val="20"/>
          <w:rtl/>
        </w:rPr>
        <w:t>שהיה יהודי עני אחד מטפל בילדים שהיה שוכר בכל שנה את הבית מרזח "</w:t>
      </w:r>
      <w:proofErr w:type="spellStart"/>
      <w:r>
        <w:rPr>
          <w:sz w:val="20"/>
          <w:szCs w:val="20"/>
          <w:rtl/>
        </w:rPr>
        <w:t>רענדאר</w:t>
      </w:r>
      <w:proofErr w:type="spellEnd"/>
      <w:r>
        <w:rPr>
          <w:sz w:val="20"/>
          <w:szCs w:val="20"/>
          <w:rtl/>
        </w:rPr>
        <w:t xml:space="preserve">" מהפריץ והיה דר שם ומתפרנס ממנה. וכך היה שוכרו שנים </w:t>
      </w:r>
      <w:r>
        <w:rPr>
          <w:sz w:val="20"/>
          <w:szCs w:val="20"/>
          <w:rtl/>
        </w:rPr>
        <w:t xml:space="preserve">רבות. ובכל שלש שנים כשנגמרה השכירות והכריז הפריץ על שכירות המרזח לא שכרו אף אחד, אפילו </w:t>
      </w:r>
      <w:proofErr w:type="spellStart"/>
      <w:r>
        <w:rPr>
          <w:sz w:val="20"/>
          <w:szCs w:val="20"/>
          <w:rtl/>
        </w:rPr>
        <w:t>מהנכרים</w:t>
      </w:r>
      <w:proofErr w:type="spellEnd"/>
      <w:r>
        <w:rPr>
          <w:sz w:val="20"/>
          <w:szCs w:val="20"/>
          <w:rtl/>
        </w:rPr>
        <w:t xml:space="preserve">. כי ידעו שיהודי זה הוא עני ומטפל בילדים וריחמו עליו כי ידעו שמזה מקור פרנסתו. </w:t>
      </w:r>
    </w:p>
    <w:p w14:paraId="00000006" w14:textId="77777777" w:rsidR="009A095D" w:rsidRDefault="002C0DC9">
      <w:pPr>
        <w:tabs>
          <w:tab w:val="left" w:pos="7928"/>
        </w:tabs>
        <w:bidi/>
        <w:spacing w:after="80" w:line="360" w:lineRule="auto"/>
        <w:ind w:left="908" w:right="990"/>
        <w:jc w:val="both"/>
        <w:rPr>
          <w:sz w:val="20"/>
          <w:szCs w:val="20"/>
        </w:rPr>
      </w:pPr>
      <w:r>
        <w:rPr>
          <w:sz w:val="20"/>
          <w:szCs w:val="20"/>
          <w:rtl/>
        </w:rPr>
        <w:t>אולם, שנה אחת בא יהודי אחד והפריז על הסכום ושכר הוא את הבית מרזח. ונאלץ היהודי הענ</w:t>
      </w:r>
      <w:r>
        <w:rPr>
          <w:sz w:val="20"/>
          <w:szCs w:val="20"/>
          <w:rtl/>
        </w:rPr>
        <w:t xml:space="preserve">י לצאת משם באמצע החורף עם בניו הקטנים. היהודי הזה ששכרו לא היו לו שנים רבות ילדים, ובאותה שנה ששכר את הבית מרזח וקיפח את העני – נולד לו בן זכר. </w:t>
      </w:r>
    </w:p>
    <w:p w14:paraId="00000007" w14:textId="77777777" w:rsidR="009A095D" w:rsidRDefault="002C0DC9">
      <w:pPr>
        <w:tabs>
          <w:tab w:val="left" w:pos="7928"/>
        </w:tabs>
        <w:bidi/>
        <w:spacing w:after="80" w:line="360" w:lineRule="auto"/>
        <w:ind w:left="908" w:right="990"/>
        <w:jc w:val="both"/>
        <w:rPr>
          <w:sz w:val="20"/>
          <w:szCs w:val="20"/>
        </w:rPr>
      </w:pPr>
      <w:r>
        <w:rPr>
          <w:sz w:val="20"/>
          <w:szCs w:val="20"/>
          <w:rtl/>
        </w:rPr>
        <w:t xml:space="preserve">והיה הדבר לפלא. שלא די שעשה עוולה לעני כזה עוד זכה לבן זכר לאחר שנים רבות שלא היו לו בנים. </w:t>
      </w:r>
    </w:p>
    <w:p w14:paraId="00000008" w14:textId="77777777" w:rsidR="009A095D" w:rsidRDefault="002C0DC9">
      <w:pPr>
        <w:tabs>
          <w:tab w:val="left" w:pos="7928"/>
        </w:tabs>
        <w:bidi/>
        <w:spacing w:after="80" w:line="360" w:lineRule="auto"/>
        <w:ind w:left="908" w:right="990"/>
        <w:jc w:val="both"/>
        <w:rPr>
          <w:sz w:val="20"/>
          <w:szCs w:val="20"/>
        </w:rPr>
      </w:pPr>
      <w:r>
        <w:rPr>
          <w:sz w:val="20"/>
          <w:szCs w:val="20"/>
          <w:rtl/>
        </w:rPr>
        <w:t>וכשספר רבנו ספור זה</w:t>
      </w:r>
      <w:r>
        <w:rPr>
          <w:sz w:val="20"/>
          <w:szCs w:val="20"/>
          <w:rtl/>
        </w:rPr>
        <w:t xml:space="preserve"> סיים ואמר: וכך מנהיג הקב"ה את עולמו. (אין </w:t>
      </w:r>
      <w:proofErr w:type="spellStart"/>
      <w:r>
        <w:rPr>
          <w:sz w:val="20"/>
          <w:szCs w:val="20"/>
          <w:rtl/>
        </w:rPr>
        <w:t>אזוי</w:t>
      </w:r>
      <w:proofErr w:type="spellEnd"/>
      <w:r>
        <w:rPr>
          <w:sz w:val="20"/>
          <w:szCs w:val="20"/>
          <w:rtl/>
        </w:rPr>
        <w:t xml:space="preserve"> פירט </w:t>
      </w:r>
      <w:proofErr w:type="spellStart"/>
      <w:r>
        <w:rPr>
          <w:sz w:val="20"/>
          <w:szCs w:val="20"/>
          <w:rtl/>
        </w:rPr>
        <w:t>דער</w:t>
      </w:r>
      <w:proofErr w:type="spellEnd"/>
      <w:r>
        <w:rPr>
          <w:sz w:val="20"/>
          <w:szCs w:val="20"/>
          <w:rtl/>
        </w:rPr>
        <w:t xml:space="preserve"> </w:t>
      </w:r>
      <w:proofErr w:type="spellStart"/>
      <w:r>
        <w:rPr>
          <w:sz w:val="20"/>
          <w:szCs w:val="20"/>
          <w:rtl/>
        </w:rPr>
        <w:t>אויבערשטער</w:t>
      </w:r>
      <w:proofErr w:type="spellEnd"/>
      <w:r>
        <w:rPr>
          <w:sz w:val="20"/>
          <w:szCs w:val="20"/>
          <w:rtl/>
        </w:rPr>
        <w:t>).</w:t>
      </w:r>
    </w:p>
    <w:p w14:paraId="00000009" w14:textId="77777777" w:rsidR="009A095D" w:rsidRDefault="009A095D">
      <w:pPr>
        <w:tabs>
          <w:tab w:val="left" w:pos="7586"/>
        </w:tabs>
        <w:bidi/>
        <w:spacing w:after="120" w:line="360" w:lineRule="auto"/>
        <w:ind w:left="720" w:right="720"/>
        <w:jc w:val="both"/>
        <w:rPr>
          <w:sz w:val="21"/>
          <w:szCs w:val="21"/>
        </w:rPr>
      </w:pPr>
    </w:p>
    <w:p w14:paraId="0000000A" w14:textId="77777777" w:rsidR="009A095D" w:rsidRDefault="009A095D">
      <w:pPr>
        <w:tabs>
          <w:tab w:val="left" w:pos="7586"/>
        </w:tabs>
        <w:bidi/>
        <w:spacing w:after="120" w:line="360" w:lineRule="auto"/>
        <w:ind w:left="720" w:right="720"/>
        <w:jc w:val="both"/>
        <w:rPr>
          <w:sz w:val="21"/>
          <w:szCs w:val="21"/>
        </w:rPr>
      </w:pPr>
    </w:p>
    <w:p w14:paraId="0000000B" w14:textId="77777777" w:rsidR="009A095D" w:rsidRDefault="002C0DC9">
      <w:pPr>
        <w:tabs>
          <w:tab w:val="left" w:pos="7586"/>
        </w:tabs>
        <w:bidi/>
        <w:spacing w:after="120" w:line="360" w:lineRule="auto"/>
        <w:ind w:left="720" w:right="720"/>
        <w:jc w:val="center"/>
        <w:rPr>
          <w:sz w:val="36"/>
          <w:szCs w:val="36"/>
        </w:rPr>
      </w:pPr>
      <w:r>
        <w:rPr>
          <w:sz w:val="36"/>
          <w:szCs w:val="36"/>
        </w:rPr>
        <w:t>*</w:t>
      </w:r>
    </w:p>
    <w:p w14:paraId="0000000C" w14:textId="77777777" w:rsidR="009A095D" w:rsidRDefault="002C0DC9">
      <w:pPr>
        <w:bidi/>
        <w:spacing w:after="200" w:line="276" w:lineRule="auto"/>
        <w:jc w:val="center"/>
        <w:rPr>
          <w:rFonts w:ascii="Arial" w:eastAsia="Arial" w:hAnsi="Arial" w:cs="Arial"/>
          <w:b/>
          <w:color w:val="000000"/>
          <w:sz w:val="26"/>
          <w:szCs w:val="26"/>
        </w:rPr>
      </w:pPr>
      <w:r>
        <w:br w:type="page"/>
      </w:r>
      <w:r>
        <w:rPr>
          <w:rFonts w:ascii="Arial" w:eastAsia="Arial" w:hAnsi="Arial" w:cs="Arial"/>
          <w:b/>
          <w:color w:val="000000"/>
          <w:sz w:val="26"/>
          <w:szCs w:val="26"/>
          <w:rtl/>
        </w:rPr>
        <w:lastRenderedPageBreak/>
        <w:t>כך מנהיג הקב"ה את עולמו</w:t>
      </w:r>
    </w:p>
    <w:p w14:paraId="0000000D" w14:textId="77777777" w:rsidR="009A095D" w:rsidRDefault="002C0DC9">
      <w:pPr>
        <w:bidi/>
        <w:spacing w:after="200" w:line="276" w:lineRule="auto"/>
        <w:jc w:val="center"/>
        <w:rPr>
          <w:rFonts w:ascii="Arial" w:eastAsia="Arial" w:hAnsi="Arial" w:cs="Arial"/>
          <w:b/>
          <w:color w:val="000000"/>
          <w:sz w:val="26"/>
          <w:szCs w:val="26"/>
        </w:rPr>
      </w:pPr>
      <w:r>
        <w:rPr>
          <w:rFonts w:ascii="Arial" w:eastAsia="Arial" w:hAnsi="Arial" w:cs="Arial"/>
          <w:b/>
          <w:color w:val="000000"/>
          <w:sz w:val="26"/>
          <w:szCs w:val="26"/>
          <w:rtl/>
        </w:rPr>
        <w:t xml:space="preserve"> לימוד על אי-הבנה נוכח אסון</w:t>
      </w:r>
    </w:p>
    <w:p w14:paraId="0000000E" w14:textId="77777777" w:rsidR="009A095D" w:rsidRDefault="002C0DC9">
      <w:pPr>
        <w:bidi/>
        <w:spacing w:after="120" w:line="360" w:lineRule="auto"/>
        <w:ind w:left="720" w:right="720"/>
        <w:jc w:val="both"/>
        <w:rPr>
          <w:rFonts w:ascii="Arial" w:eastAsia="Arial" w:hAnsi="Arial" w:cs="Arial"/>
          <w:color w:val="000000"/>
          <w:sz w:val="20"/>
          <w:szCs w:val="20"/>
        </w:rPr>
      </w:pPr>
      <w:r>
        <w:rPr>
          <w:rFonts w:ascii="Arial" w:eastAsia="Arial" w:hAnsi="Arial" w:cs="Arial"/>
          <w:color w:val="000000"/>
          <w:sz w:val="20"/>
          <w:szCs w:val="20"/>
          <w:rtl/>
        </w:rPr>
        <w:t xml:space="preserve">לפנינו סיפור קצר שעשוי לשמש מעגל לומדים (צוות, קהילה, אנשי מקצוע) לגעת בקושי להבין אובדן, באי-היכולת להסביר לעצמנו אסונות. יחידה </w:t>
      </w:r>
      <w:r>
        <w:rPr>
          <w:rFonts w:ascii="Arial" w:eastAsia="Arial" w:hAnsi="Arial" w:cs="Arial"/>
          <w:color w:val="000000"/>
          <w:sz w:val="20"/>
          <w:szCs w:val="20"/>
          <w:rtl/>
        </w:rPr>
        <w:t xml:space="preserve">זו עשויה לסייע לנו לנסח – בשפה דתית חדשה – את עמידתנו הדתית והקיומית מול תעלומות ההשגחה וההנהגה האלוהית. לימוד זה מתאים במיוחד נוכח מקרי אובדן ואסונות בלתי נתפסים, שאין דרך לייחס אותם לתהליך טבעי או לדרכו של עולם. </w:t>
      </w:r>
    </w:p>
    <w:p w14:paraId="0000000F" w14:textId="77777777" w:rsidR="009A095D" w:rsidRDefault="009A095D">
      <w:pPr>
        <w:bidi/>
        <w:spacing w:after="120" w:line="360" w:lineRule="auto"/>
        <w:ind w:left="720" w:right="720"/>
        <w:jc w:val="both"/>
        <w:rPr>
          <w:rFonts w:ascii="Arial" w:eastAsia="Arial" w:hAnsi="Arial" w:cs="Arial"/>
          <w:color w:val="000000"/>
          <w:sz w:val="20"/>
          <w:szCs w:val="20"/>
        </w:rPr>
      </w:pPr>
    </w:p>
    <w:p w14:paraId="00000010" w14:textId="77777777" w:rsidR="009A095D" w:rsidRDefault="002C0DC9">
      <w:pPr>
        <w:bidi/>
        <w:spacing w:after="120" w:line="360" w:lineRule="auto"/>
        <w:jc w:val="both"/>
        <w:rPr>
          <w:rFonts w:ascii="Arial" w:eastAsia="Arial" w:hAnsi="Arial" w:cs="Arial"/>
          <w:b/>
          <w:color w:val="000000"/>
          <w:sz w:val="24"/>
          <w:szCs w:val="24"/>
        </w:rPr>
      </w:pPr>
      <w:r>
        <w:rPr>
          <w:rFonts w:ascii="Arial" w:eastAsia="Arial" w:hAnsi="Arial" w:cs="Arial"/>
          <w:b/>
          <w:color w:val="000000"/>
          <w:sz w:val="24"/>
          <w:szCs w:val="24"/>
          <w:rtl/>
        </w:rPr>
        <w:t xml:space="preserve">שאלות ללימוד </w:t>
      </w:r>
    </w:p>
    <w:p w14:paraId="00000011" w14:textId="77777777" w:rsidR="009A095D" w:rsidRDefault="002C0DC9">
      <w:pPr>
        <w:numPr>
          <w:ilvl w:val="0"/>
          <w:numId w:val="1"/>
        </w:numPr>
        <w:bidi/>
        <w:spacing w:after="0" w:line="360" w:lineRule="auto"/>
        <w:jc w:val="both"/>
        <w:rPr>
          <w:rFonts w:ascii="Arial" w:eastAsia="Arial" w:hAnsi="Arial" w:cs="Arial"/>
          <w:color w:val="000000"/>
        </w:rPr>
      </w:pPr>
      <w:r>
        <w:rPr>
          <w:rFonts w:ascii="Arial" w:eastAsia="Arial" w:hAnsi="Arial" w:cs="Arial"/>
          <w:color w:val="000000"/>
          <w:rtl/>
        </w:rPr>
        <w:t>קראו את הסיפור פעמיים-שלוש</w:t>
      </w:r>
      <w:r>
        <w:rPr>
          <w:rFonts w:ascii="Arial" w:eastAsia="Arial" w:hAnsi="Arial" w:cs="Arial"/>
          <w:color w:val="000000"/>
          <w:rtl/>
        </w:rPr>
        <w:t xml:space="preserve">, שימו לב לפרטיו. </w:t>
      </w:r>
    </w:p>
    <w:p w14:paraId="00000012" w14:textId="77777777" w:rsidR="009A095D" w:rsidRDefault="002C0DC9">
      <w:pPr>
        <w:numPr>
          <w:ilvl w:val="0"/>
          <w:numId w:val="1"/>
        </w:numPr>
        <w:bidi/>
        <w:spacing w:after="0" w:line="360" w:lineRule="auto"/>
        <w:jc w:val="both"/>
        <w:rPr>
          <w:rFonts w:ascii="Arial" w:eastAsia="Arial" w:hAnsi="Arial" w:cs="Arial"/>
          <w:color w:val="000000"/>
        </w:rPr>
      </w:pPr>
      <w:r>
        <w:rPr>
          <w:rFonts w:ascii="Arial" w:eastAsia="Arial" w:hAnsi="Arial" w:cs="Arial"/>
          <w:color w:val="000000"/>
          <w:rtl/>
        </w:rPr>
        <w:t xml:space="preserve">באילו יסודות ספרותיים ר' נחמן משתמש כדי לעצב את הפרדוקס הדתי? את אי-המובנות של הנהגתו של הקב"ה את העלילה? </w:t>
      </w:r>
    </w:p>
    <w:p w14:paraId="00000013" w14:textId="77777777" w:rsidR="009A095D" w:rsidRDefault="002C0DC9">
      <w:pPr>
        <w:numPr>
          <w:ilvl w:val="0"/>
          <w:numId w:val="1"/>
        </w:numPr>
        <w:bidi/>
        <w:spacing w:after="0" w:line="360" w:lineRule="auto"/>
        <w:jc w:val="both"/>
        <w:rPr>
          <w:rFonts w:ascii="Arial" w:eastAsia="Arial" w:hAnsi="Arial" w:cs="Arial"/>
          <w:color w:val="000000"/>
        </w:rPr>
      </w:pPr>
      <w:r>
        <w:rPr>
          <w:rFonts w:ascii="Arial" w:eastAsia="Arial" w:hAnsi="Arial" w:cs="Arial"/>
          <w:color w:val="000000"/>
          <w:rtl/>
        </w:rPr>
        <w:t xml:space="preserve">האם עולה בדעתכם כיצד ניתן להצדיק או להסביר, במונחים ובשפה דתית, את העוול שנעשה בסיפור? </w:t>
      </w:r>
    </w:p>
    <w:p w14:paraId="00000014" w14:textId="77777777" w:rsidR="009A095D" w:rsidRDefault="002C0DC9">
      <w:pPr>
        <w:numPr>
          <w:ilvl w:val="0"/>
          <w:numId w:val="1"/>
        </w:numPr>
        <w:bidi/>
        <w:spacing w:after="0" w:line="360" w:lineRule="auto"/>
        <w:jc w:val="both"/>
        <w:rPr>
          <w:rFonts w:ascii="Arial" w:eastAsia="Arial" w:hAnsi="Arial" w:cs="Arial"/>
          <w:color w:val="000000"/>
        </w:rPr>
      </w:pPr>
      <w:r>
        <w:rPr>
          <w:rFonts w:ascii="Arial" w:eastAsia="Arial" w:hAnsi="Arial" w:cs="Arial"/>
          <w:color w:val="000000"/>
          <w:rtl/>
        </w:rPr>
        <w:t>ביאור: ר' נחמן סיים את הסיפור בקביעה "כך מ</w:t>
      </w:r>
      <w:r>
        <w:rPr>
          <w:rFonts w:ascii="Arial" w:eastAsia="Arial" w:hAnsi="Arial" w:cs="Arial"/>
          <w:color w:val="000000"/>
          <w:rtl/>
        </w:rPr>
        <w:t xml:space="preserve">נהיג הקב"ה את עולמו". מה זה אומר? תנו שמות נרדפים לאיכות ההנהגה המתוארת בסיפור. </w:t>
      </w:r>
    </w:p>
    <w:p w14:paraId="00000015" w14:textId="77777777" w:rsidR="009A095D" w:rsidRDefault="009A095D">
      <w:pPr>
        <w:bidi/>
        <w:spacing w:after="120" w:line="360" w:lineRule="auto"/>
        <w:jc w:val="both"/>
        <w:rPr>
          <w:rFonts w:ascii="Arial" w:eastAsia="Arial" w:hAnsi="Arial" w:cs="Arial"/>
          <w:b/>
          <w:color w:val="000000"/>
          <w:sz w:val="24"/>
          <w:szCs w:val="24"/>
        </w:rPr>
      </w:pPr>
    </w:p>
    <w:p w14:paraId="00000016" w14:textId="77777777" w:rsidR="009A095D" w:rsidRDefault="002C0DC9">
      <w:pPr>
        <w:bidi/>
        <w:spacing w:after="120" w:line="360" w:lineRule="auto"/>
        <w:jc w:val="both"/>
        <w:rPr>
          <w:rFonts w:ascii="Arial" w:eastAsia="Arial" w:hAnsi="Arial" w:cs="Arial"/>
          <w:b/>
          <w:color w:val="000000"/>
          <w:sz w:val="24"/>
          <w:szCs w:val="24"/>
        </w:rPr>
      </w:pPr>
      <w:r>
        <w:rPr>
          <w:rFonts w:ascii="Arial" w:eastAsia="Arial" w:hAnsi="Arial" w:cs="Arial"/>
          <w:b/>
          <w:color w:val="000000"/>
          <w:sz w:val="24"/>
          <w:szCs w:val="24"/>
          <w:rtl/>
        </w:rPr>
        <w:t xml:space="preserve">הצעה להילוך </w:t>
      </w:r>
    </w:p>
    <w:p w14:paraId="00000017" w14:textId="77777777" w:rsidR="009A095D" w:rsidRDefault="002C0DC9">
      <w:pPr>
        <w:bidi/>
        <w:spacing w:after="120" w:line="360" w:lineRule="auto"/>
        <w:ind w:firstLine="360"/>
        <w:jc w:val="both"/>
        <w:rPr>
          <w:rFonts w:ascii="Arial" w:eastAsia="Arial" w:hAnsi="Arial" w:cs="Arial"/>
          <w:color w:val="000000"/>
        </w:rPr>
      </w:pPr>
      <w:r>
        <w:rPr>
          <w:rFonts w:ascii="Arial" w:eastAsia="Arial" w:hAnsi="Arial" w:cs="Arial"/>
          <w:b/>
          <w:color w:val="000000"/>
          <w:rtl/>
        </w:rPr>
        <w:t>אפשרות ראשונה</w:t>
      </w:r>
    </w:p>
    <w:p w14:paraId="00000018" w14:textId="77777777" w:rsidR="009A095D" w:rsidRDefault="002C0DC9">
      <w:pPr>
        <w:numPr>
          <w:ilvl w:val="0"/>
          <w:numId w:val="2"/>
        </w:numPr>
        <w:bidi/>
        <w:spacing w:after="0" w:line="360" w:lineRule="auto"/>
        <w:jc w:val="both"/>
      </w:pPr>
      <w:r>
        <w:rPr>
          <w:rFonts w:ascii="Arial" w:eastAsia="Arial" w:hAnsi="Arial" w:cs="Arial"/>
          <w:color w:val="000000"/>
          <w:rtl/>
        </w:rPr>
        <w:t xml:space="preserve">שתפו בסיפור ששמעתם (או שחוויתם) שהיה לכם קשה להבין בו את דרכי ההשגחה האלוהית. </w:t>
      </w:r>
    </w:p>
    <w:p w14:paraId="00000019" w14:textId="77777777" w:rsidR="009A095D" w:rsidRDefault="002C0DC9">
      <w:pPr>
        <w:numPr>
          <w:ilvl w:val="0"/>
          <w:numId w:val="2"/>
        </w:numPr>
        <w:bidi/>
        <w:spacing w:after="0" w:line="360" w:lineRule="auto"/>
        <w:jc w:val="both"/>
      </w:pPr>
      <w:r>
        <w:rPr>
          <w:rFonts w:ascii="Arial" w:eastAsia="Arial" w:hAnsi="Arial" w:cs="Arial"/>
          <w:color w:val="000000"/>
          <w:rtl/>
        </w:rPr>
        <w:t>בהשפעת הסיפור שלמדנו, נסחו אמירה לקב"ה ביחס לסיפור שלכם (באופן ישיר,</w:t>
      </w:r>
      <w:r>
        <w:rPr>
          <w:rFonts w:ascii="Arial" w:eastAsia="Arial" w:hAnsi="Arial" w:cs="Arial"/>
          <w:color w:val="000000"/>
          <w:rtl/>
        </w:rPr>
        <w:t xml:space="preserve"> גוף שני). </w:t>
      </w:r>
    </w:p>
    <w:p w14:paraId="0000001A" w14:textId="77777777" w:rsidR="009A095D" w:rsidRDefault="002C0DC9">
      <w:pPr>
        <w:numPr>
          <w:ilvl w:val="0"/>
          <w:numId w:val="2"/>
        </w:numPr>
        <w:bidi/>
        <w:spacing w:after="0" w:line="360" w:lineRule="auto"/>
        <w:jc w:val="both"/>
      </w:pPr>
      <w:r>
        <w:rPr>
          <w:rFonts w:ascii="Arial" w:eastAsia="Arial" w:hAnsi="Arial" w:cs="Arial"/>
          <w:color w:val="000000"/>
          <w:rtl/>
        </w:rPr>
        <w:t xml:space="preserve">כדאי לפתוח את האמירה בפנייה לקב"ה באחד מאינספור כינוייו שמתאים לפנייה זו. </w:t>
      </w:r>
    </w:p>
    <w:p w14:paraId="0000001B" w14:textId="77777777" w:rsidR="009A095D" w:rsidRDefault="002C0DC9">
      <w:pPr>
        <w:numPr>
          <w:ilvl w:val="0"/>
          <w:numId w:val="2"/>
        </w:numPr>
        <w:bidi/>
        <w:spacing w:after="0" w:line="360" w:lineRule="auto"/>
        <w:jc w:val="both"/>
      </w:pPr>
      <w:r>
        <w:rPr>
          <w:rFonts w:ascii="Arial" w:eastAsia="Arial" w:hAnsi="Arial" w:cs="Arial"/>
          <w:color w:val="000000"/>
          <w:rtl/>
        </w:rPr>
        <w:t xml:space="preserve">נסו גם לחתום בפסוק אישי (לפי בחירתכם) מן התפילה או מן המקרא. </w:t>
      </w:r>
    </w:p>
    <w:p w14:paraId="0000001C" w14:textId="77777777" w:rsidR="009A095D" w:rsidRDefault="002C0DC9">
      <w:pPr>
        <w:bidi/>
        <w:spacing w:after="120" w:line="360" w:lineRule="auto"/>
        <w:ind w:firstLine="360"/>
        <w:jc w:val="both"/>
        <w:rPr>
          <w:rFonts w:ascii="Arial" w:eastAsia="Arial" w:hAnsi="Arial" w:cs="Arial"/>
          <w:color w:val="000000"/>
        </w:rPr>
      </w:pPr>
      <w:r>
        <w:rPr>
          <w:rFonts w:ascii="Arial" w:eastAsia="Arial" w:hAnsi="Arial" w:cs="Arial"/>
          <w:b/>
          <w:color w:val="000000"/>
          <w:rtl/>
        </w:rPr>
        <w:t>אפשרות שנייה</w:t>
      </w:r>
      <w:r>
        <w:rPr>
          <w:rFonts w:ascii="Arial" w:eastAsia="Arial" w:hAnsi="Arial" w:cs="Arial"/>
          <w:color w:val="000000"/>
        </w:rPr>
        <w:t xml:space="preserve"> </w:t>
      </w:r>
    </w:p>
    <w:p w14:paraId="0000001D" w14:textId="77777777" w:rsidR="009A095D" w:rsidRDefault="002C0DC9">
      <w:pPr>
        <w:numPr>
          <w:ilvl w:val="0"/>
          <w:numId w:val="3"/>
        </w:numPr>
        <w:bidi/>
        <w:spacing w:after="0" w:line="360" w:lineRule="auto"/>
        <w:jc w:val="both"/>
      </w:pPr>
      <w:r>
        <w:rPr>
          <w:rFonts w:ascii="Arial" w:eastAsia="Arial" w:hAnsi="Arial" w:cs="Arial"/>
          <w:color w:val="000000"/>
          <w:rtl/>
        </w:rPr>
        <w:t>איזו עמדה דתית מול הקב"ה נפתחת בעבורך דרך הסיפור הזה? נסו לתת מילים לעמדה זו.</w:t>
      </w:r>
    </w:p>
    <w:p w14:paraId="0000001E" w14:textId="77777777" w:rsidR="009A095D" w:rsidRDefault="002C0DC9">
      <w:pPr>
        <w:numPr>
          <w:ilvl w:val="0"/>
          <w:numId w:val="3"/>
        </w:numPr>
        <w:bidi/>
        <w:spacing w:after="0" w:line="360" w:lineRule="auto"/>
        <w:jc w:val="both"/>
      </w:pPr>
      <w:r>
        <w:rPr>
          <w:rFonts w:ascii="Arial" w:eastAsia="Arial" w:hAnsi="Arial" w:cs="Arial"/>
          <w:color w:val="000000"/>
          <w:rtl/>
        </w:rPr>
        <w:t xml:space="preserve">ניתן להיעזר </w:t>
      </w:r>
      <w:r>
        <w:rPr>
          <w:rFonts w:ascii="Arial" w:eastAsia="Arial" w:hAnsi="Arial" w:cs="Arial"/>
          <w:color w:val="000000"/>
          <w:rtl/>
        </w:rPr>
        <w:t>בתבנית ניסוח כזו: "עד היום הייתי רגיל לחשוב ש... אך היום נפתחה לי אפשרות להאמין ש... או לראות ש...</w:t>
      </w:r>
    </w:p>
    <w:p w14:paraId="0000001F" w14:textId="77777777" w:rsidR="009A095D" w:rsidRDefault="009A095D">
      <w:pPr>
        <w:bidi/>
        <w:spacing w:after="120" w:line="360" w:lineRule="auto"/>
        <w:jc w:val="both"/>
        <w:rPr>
          <w:rFonts w:ascii="Arial" w:eastAsia="Arial" w:hAnsi="Arial" w:cs="Arial"/>
          <w:b/>
          <w:color w:val="000000"/>
          <w:sz w:val="24"/>
          <w:szCs w:val="24"/>
        </w:rPr>
      </w:pPr>
    </w:p>
    <w:p w14:paraId="00000020" w14:textId="77777777" w:rsidR="009A095D" w:rsidRDefault="002C0DC9">
      <w:pPr>
        <w:bidi/>
        <w:spacing w:after="120" w:line="360" w:lineRule="auto"/>
        <w:jc w:val="both"/>
        <w:rPr>
          <w:rFonts w:ascii="Arial" w:eastAsia="Arial" w:hAnsi="Arial" w:cs="Arial"/>
          <w:b/>
          <w:color w:val="000000"/>
          <w:sz w:val="24"/>
          <w:szCs w:val="24"/>
        </w:rPr>
      </w:pPr>
      <w:r>
        <w:rPr>
          <w:rFonts w:ascii="Arial" w:eastAsia="Arial" w:hAnsi="Arial" w:cs="Arial"/>
          <w:b/>
          <w:color w:val="000000"/>
          <w:sz w:val="24"/>
          <w:szCs w:val="24"/>
          <w:rtl/>
        </w:rPr>
        <w:t xml:space="preserve">דברים על הלימוד </w:t>
      </w:r>
    </w:p>
    <w:p w14:paraId="00000021" w14:textId="77777777" w:rsidR="009A095D" w:rsidRDefault="002C0DC9">
      <w:pPr>
        <w:bidi/>
        <w:spacing w:after="120" w:line="360" w:lineRule="auto"/>
        <w:jc w:val="both"/>
        <w:rPr>
          <w:rFonts w:ascii="Arial" w:eastAsia="Arial" w:hAnsi="Arial" w:cs="Arial"/>
          <w:color w:val="000000"/>
        </w:rPr>
      </w:pPr>
      <w:r>
        <w:rPr>
          <w:rFonts w:ascii="Arial" w:eastAsia="Arial" w:hAnsi="Arial" w:cs="Arial"/>
          <w:color w:val="000000"/>
          <w:rtl/>
        </w:rPr>
        <w:t xml:space="preserve">המעשה שסיפר ר' נחמן חושף את האבסורד בניסיון להצדיק את דרכי ההשגחה בשפה דתית 'רגילה' נוסח צדיק וטוב לו. במה חטא העני ובניו הקטנים? ובחריפות </w:t>
      </w:r>
      <w:r>
        <w:rPr>
          <w:rFonts w:ascii="Arial" w:eastAsia="Arial" w:hAnsi="Arial" w:cs="Arial"/>
          <w:color w:val="000000"/>
          <w:rtl/>
        </w:rPr>
        <w:t xml:space="preserve">יתר – כיצד זוכה מי שעושה עוול שכזה בבן זכר? האם מגיע לו שכר על אכזריותו? אכן "היה הדבר לפלא". לפי סיפורו של ר' נחמן, דווקא בנקודה בה התבונה האנושית נעצרת, </w:t>
      </w:r>
      <w:r>
        <w:rPr>
          <w:rFonts w:ascii="Arial" w:eastAsia="Arial" w:hAnsi="Arial" w:cs="Arial"/>
          <w:color w:val="000000"/>
          <w:rtl/>
        </w:rPr>
        <w:lastRenderedPageBreak/>
        <w:t>במקום בו אמות המידה המוסריות של אדם סביר אינן עומדות עוד – שם מתחילה דתיות. האבסורד בהנהגת הקב"ה, חוס</w:t>
      </w:r>
      <w:r>
        <w:rPr>
          <w:rFonts w:ascii="Arial" w:eastAsia="Arial" w:hAnsi="Arial" w:cs="Arial"/>
          <w:color w:val="000000"/>
          <w:rtl/>
        </w:rPr>
        <w:t>ר הצדק המשווע – הם אבני היסוד של אמונה דתית, של עמידה מול הקב"ה. למה התכוון ר' נחמן כשקבע "כך מנהיג הקב"ה את עולמו"? לאיזו איכות של הנהגה הוא רומז? ניתן להעלות על הדעת הנהגה בלתי מובנת, פרדוקסלית, כזו שאינה ניתנת להשגה בתודעה אנושית. מול הנהגה כזו נותרת לא</w:t>
      </w:r>
      <w:r>
        <w:rPr>
          <w:rFonts w:ascii="Arial" w:eastAsia="Arial" w:hAnsi="Arial" w:cs="Arial"/>
          <w:color w:val="000000"/>
          <w:rtl/>
        </w:rPr>
        <w:t>דם הבחירה בין שיתוק, פליאה ושתיקה. על דעתנו עלתה גם אפשרות שר' מתכוון להנהגה שרירותית. כלומר, חוויה אנושית-דתית של עמידה חשופה מול הקב"ה, בלא שום ערבויות או ביטחונות. לצד האימה, החרדה ותחושת המאוימות שכרוכים בתודעה דתית נוכח הנהגה שרירותית, נדמה שיש גם פוט</w:t>
      </w:r>
      <w:r>
        <w:rPr>
          <w:rFonts w:ascii="Arial" w:eastAsia="Arial" w:hAnsi="Arial" w:cs="Arial"/>
          <w:color w:val="000000"/>
          <w:rtl/>
        </w:rPr>
        <w:t xml:space="preserve">נציאל לשחרור ולשמחה. </w:t>
      </w:r>
    </w:p>
    <w:p w14:paraId="00000022" w14:textId="77777777" w:rsidR="009A095D" w:rsidRDefault="002C0DC9">
      <w:pPr>
        <w:bidi/>
        <w:spacing w:after="120" w:line="360" w:lineRule="auto"/>
        <w:jc w:val="both"/>
        <w:rPr>
          <w:rFonts w:ascii="Arial" w:eastAsia="Arial" w:hAnsi="Arial" w:cs="Arial"/>
          <w:color w:val="000000"/>
        </w:rPr>
      </w:pPr>
      <w:r>
        <w:rPr>
          <w:rFonts w:ascii="Arial" w:eastAsia="Arial" w:hAnsi="Arial" w:cs="Arial"/>
          <w:color w:val="000000"/>
          <w:rtl/>
        </w:rPr>
        <w:t>לא פעם, דווקא מול אובדן אכזרי, מול אסון שאין בו בדל של צדק, אנחנו נשארים פעורי פה, אילמים, מרגישים דחויים ורחוקים מן הקב"ה. טבעי גם שיתעוררו באדם רגשות זעם, התקוממות ותסכול אדירים. על פי האנליזה הרוחנית של ר' נחמן, רגשות קשים אלה נטוע</w:t>
      </w:r>
      <w:r>
        <w:rPr>
          <w:rFonts w:ascii="Arial" w:eastAsia="Arial" w:hAnsi="Arial" w:cs="Arial"/>
          <w:color w:val="000000"/>
          <w:rtl/>
        </w:rPr>
        <w:t>ים עמוק בתודעה דתית 'קלסית', שיש בה חוק, סדר ומוסר, ובעיקר תפיסת אלוהות נוסח 'האל הטוב' שניתנת לתפיסה בשכלו של אדם. וכאן מוצעת גם חלופה דתית-קיומית. במקום לכפות על המציאות (ואולי גם על ההשגחה האלוהית) את הסיפור האנושי (ציפיות, חוקיות, אתיקה), נראה שר' נחמן</w:t>
      </w:r>
      <w:r>
        <w:rPr>
          <w:rFonts w:ascii="Arial" w:eastAsia="Arial" w:hAnsi="Arial" w:cs="Arial"/>
          <w:color w:val="000000"/>
          <w:rtl/>
        </w:rPr>
        <w:t xml:space="preserve"> מציע לאדם להצטרף ולהשתתף בסיפור האלוהי. המציאות כולה, יחד עם האסונות והאובדן שכרוכים בה, היא סיפור הנהגתו של הקב"ה את העולם. וכך הוא מנהיג: באופן סתום, לעתים שרירותי. נוכח שרירותיות לא נותר במה לאחוז, ובאותו רגע יש פתח לחרדה ולשמחה גם יחד. לאדם נותר לשמוע</w:t>
      </w:r>
      <w:r>
        <w:rPr>
          <w:rFonts w:ascii="Arial" w:eastAsia="Arial" w:hAnsi="Arial" w:cs="Arial"/>
          <w:color w:val="000000"/>
          <w:rtl/>
        </w:rPr>
        <w:t xml:space="preserve"> את הסיפור של 'אל נורא עלילה', להביט בו בפליאה, ולהאמין. כניסה אל סיפור העלילה האלוהי עשויה לשחרר את האדם ולפתוח בעבורו דלת להרפיה ולשמחה באלוהיו. </w:t>
      </w:r>
    </w:p>
    <w:p w14:paraId="00000023" w14:textId="77777777" w:rsidR="009A095D" w:rsidRDefault="009A095D">
      <w:pPr>
        <w:jc w:val="right"/>
      </w:pPr>
    </w:p>
    <w:sectPr w:rsidR="009A09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578D2"/>
    <w:multiLevelType w:val="multilevel"/>
    <w:tmpl w:val="D3DEA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691ADC"/>
    <w:multiLevelType w:val="multilevel"/>
    <w:tmpl w:val="60D8DB0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F657897"/>
    <w:multiLevelType w:val="multilevel"/>
    <w:tmpl w:val="1FECEC8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5D"/>
    <w:rsid w:val="002C0DC9"/>
    <w:rsid w:val="009A09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650A6-485E-4CE6-AB65-9F0831AC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3319</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Meir Avitan</dc:creator>
  <cp:lastModifiedBy>Meir Avitan</cp:lastModifiedBy>
  <cp:revision>2</cp:revision>
  <dcterms:created xsi:type="dcterms:W3CDTF">2021-05-02T11:58:00Z</dcterms:created>
  <dcterms:modified xsi:type="dcterms:W3CDTF">2021-05-02T11:58:00Z</dcterms:modified>
</cp:coreProperties>
</file>