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150" w:type="pct"/>
        <w:tblInd w:w="-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EAEA" w:themeFill="background2"/>
        <w:tblCellMar>
          <w:left w:w="288" w:type="dxa"/>
          <w:right w:w="0" w:type="dxa"/>
        </w:tblCellMar>
        <w:tblLook w:val="04A0"/>
      </w:tblPr>
      <w:tblGrid>
        <w:gridCol w:w="9593"/>
      </w:tblGrid>
      <w:tr w:rsidR="009048F7" w:rsidRPr="00660577">
        <w:tc>
          <w:tcPr>
            <w:tcW w:w="9648" w:type="dxa"/>
            <w:shd w:val="clear" w:color="auto" w:fill="EAEAEA" w:themeFill="background2"/>
            <w:vAlign w:val="center"/>
          </w:tcPr>
          <w:p w:rsidR="009048F7" w:rsidRPr="00660577" w:rsidRDefault="00BC2746" w:rsidP="00533E4A">
            <w:pPr>
              <w:pStyle w:val="Dat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bidi="en-GB"/>
              </w:rPr>
              <w:t>2</w:t>
            </w:r>
            <w:r w:rsidR="00533E4A">
              <w:rPr>
                <w:rFonts w:ascii="Calibri" w:hAnsi="Calibri" w:cs="Calibri"/>
                <w:lang w:bidi="en-GB"/>
              </w:rPr>
              <w:t>5</w:t>
            </w:r>
            <w:r w:rsidR="007F42DF" w:rsidRPr="007F42DF">
              <w:rPr>
                <w:rFonts w:ascii="Calibri" w:hAnsi="Calibri" w:cs="Calibri"/>
                <w:vertAlign w:val="superscript"/>
                <w:lang w:bidi="en-GB"/>
              </w:rPr>
              <w:t>th</w:t>
            </w:r>
            <w:r w:rsidR="007F42DF">
              <w:rPr>
                <w:rFonts w:ascii="Calibri" w:hAnsi="Calibri" w:cs="Calibri"/>
                <w:lang w:bidi="en-GB"/>
              </w:rPr>
              <w:t xml:space="preserve"> </w:t>
            </w:r>
            <w:r w:rsidR="00533E4A">
              <w:rPr>
                <w:rFonts w:ascii="Calibri" w:hAnsi="Calibri" w:cs="Calibri"/>
                <w:lang w:bidi="en-GB"/>
              </w:rPr>
              <w:t>September</w:t>
            </w:r>
            <w:r w:rsidR="00651397">
              <w:rPr>
                <w:rFonts w:ascii="Calibri" w:hAnsi="Calibri" w:cs="Calibri"/>
                <w:lang w:bidi="en-GB"/>
              </w:rPr>
              <w:t xml:space="preserve"> 2020</w:t>
            </w:r>
          </w:p>
        </w:tc>
      </w:tr>
    </w:tbl>
    <w:p w:rsidR="009048F7" w:rsidRPr="00660577" w:rsidRDefault="009048F7">
      <w:pPr>
        <w:pStyle w:val="NoSpacing"/>
        <w:rPr>
          <w:rFonts w:ascii="Calibri" w:hAnsi="Calibri" w:cs="Calibri"/>
        </w:rPr>
      </w:pPr>
    </w:p>
    <w:tbl>
      <w:tblPr>
        <w:tblStyle w:val="TableGrid"/>
        <w:tblW w:w="5150" w:type="pct"/>
        <w:tblInd w:w="-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8" w:type="dxa"/>
          <w:right w:w="0" w:type="dxa"/>
        </w:tblCellMar>
        <w:tblLook w:val="04A0"/>
      </w:tblPr>
      <w:tblGrid>
        <w:gridCol w:w="9593"/>
      </w:tblGrid>
      <w:tr w:rsidR="009048F7" w:rsidRPr="00660577" w:rsidTr="00DB30EB">
        <w:tc>
          <w:tcPr>
            <w:tcW w:w="9593" w:type="dxa"/>
            <w:shd w:val="clear" w:color="auto" w:fill="595959" w:themeFill="text1" w:themeFillTint="A6"/>
            <w:vAlign w:val="center"/>
          </w:tcPr>
          <w:p w:rsidR="00660577" w:rsidRPr="00660577" w:rsidRDefault="00660577">
            <w:pPr>
              <w:pStyle w:val="Title"/>
              <w:rPr>
                <w:rFonts w:ascii="Calibri" w:hAnsi="Calibri" w:cs="Calibri"/>
                <w:sz w:val="36"/>
                <w:szCs w:val="36"/>
                <w:lang w:bidi="en-GB"/>
              </w:rPr>
            </w:pPr>
            <w:r w:rsidRPr="00660577">
              <w:rPr>
                <w:rFonts w:ascii="Calibri" w:hAnsi="Calibri" w:cs="Calibri"/>
                <w:sz w:val="36"/>
                <w:szCs w:val="36"/>
                <w:lang w:bidi="en-GB"/>
              </w:rPr>
              <w:t xml:space="preserve">Ranskill Neighbourhood Plan </w:t>
            </w:r>
            <w:r w:rsidR="00785482">
              <w:rPr>
                <w:rFonts w:ascii="Calibri" w:hAnsi="Calibri" w:cs="Calibri"/>
                <w:sz w:val="36"/>
                <w:szCs w:val="36"/>
                <w:lang w:bidi="en-GB"/>
              </w:rPr>
              <w:t>Steering Group</w:t>
            </w:r>
            <w:r w:rsidR="00853F94">
              <w:rPr>
                <w:rFonts w:ascii="Calibri" w:hAnsi="Calibri" w:cs="Calibri"/>
                <w:sz w:val="36"/>
                <w:szCs w:val="36"/>
                <w:lang w:bidi="en-GB"/>
              </w:rPr>
              <w:t xml:space="preserve"> (</w:t>
            </w:r>
            <w:r w:rsidR="00BC2746">
              <w:rPr>
                <w:rFonts w:ascii="Calibri" w:hAnsi="Calibri" w:cs="Calibri"/>
                <w:sz w:val="36"/>
                <w:szCs w:val="36"/>
                <w:lang w:bidi="en-GB"/>
              </w:rPr>
              <w:t>Google Meet</w:t>
            </w:r>
            <w:r w:rsidR="00FA6745">
              <w:rPr>
                <w:rFonts w:ascii="Calibri" w:hAnsi="Calibri" w:cs="Calibri"/>
                <w:sz w:val="36"/>
                <w:szCs w:val="36"/>
                <w:lang w:bidi="en-GB"/>
              </w:rPr>
              <w:t>)</w:t>
            </w:r>
          </w:p>
          <w:p w:rsidR="00C16A32" w:rsidRPr="00660577" w:rsidRDefault="007F42DF" w:rsidP="007F42DF">
            <w:pPr>
              <w:pStyle w:val="Tit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36"/>
                <w:szCs w:val="36"/>
                <w:lang w:bidi="en-GB"/>
              </w:rPr>
              <w:t>Meeting</w:t>
            </w:r>
            <w:r w:rsidR="00FA6745">
              <w:rPr>
                <w:rFonts w:ascii="Calibri" w:hAnsi="Calibri" w:cs="Calibri"/>
                <w:sz w:val="36"/>
                <w:szCs w:val="36"/>
                <w:lang w:bidi="en-GB"/>
              </w:rPr>
              <w:t xml:space="preserve"> Notes</w:t>
            </w:r>
          </w:p>
        </w:tc>
      </w:tr>
    </w:tbl>
    <w:p w:rsidR="00DB30EB" w:rsidRPr="00DB30EB" w:rsidRDefault="00DB30EB" w:rsidP="00DB30EB">
      <w:pPr>
        <w:pStyle w:val="Heading1"/>
        <w:rPr>
          <w:rFonts w:ascii="Calibri" w:hAnsi="Calibri" w:cs="Calibri"/>
          <w:sz w:val="28"/>
          <w:szCs w:val="28"/>
        </w:rPr>
      </w:pPr>
      <w:r w:rsidRPr="00DB30EB">
        <w:rPr>
          <w:rFonts w:ascii="Calibri" w:hAnsi="Calibri" w:cs="Calibri"/>
          <w:sz w:val="28"/>
          <w:szCs w:val="28"/>
          <w:lang w:bidi="en-GB"/>
        </w:rPr>
        <w:t>Attendi</w:t>
      </w:r>
      <w:bookmarkStart w:id="0" w:name="_GoBack"/>
      <w:bookmarkEnd w:id="0"/>
      <w:r w:rsidRPr="00DB30EB">
        <w:rPr>
          <w:rFonts w:ascii="Calibri" w:hAnsi="Calibri" w:cs="Calibri"/>
          <w:sz w:val="28"/>
          <w:szCs w:val="28"/>
          <w:lang w:bidi="en-GB"/>
        </w:rPr>
        <w:t>ng</w:t>
      </w:r>
    </w:p>
    <w:p w:rsidR="00DB30EB" w:rsidRPr="00DA10E3" w:rsidRDefault="00DB30EB" w:rsidP="00DB30EB">
      <w:pPr>
        <w:pStyle w:val="BlockText"/>
        <w:rPr>
          <w:rFonts w:ascii="Calibri" w:hAnsi="Calibri" w:cs="Calibri"/>
          <w:b w:val="0"/>
          <w:lang w:bidi="en-GB"/>
        </w:rPr>
      </w:pPr>
      <w:r w:rsidRPr="00DA10E3">
        <w:rPr>
          <w:rFonts w:ascii="Calibri" w:hAnsi="Calibri" w:cs="Calibri"/>
          <w:b w:val="0"/>
          <w:lang w:bidi="en-GB"/>
        </w:rPr>
        <w:t>Anne Talbot</w:t>
      </w:r>
    </w:p>
    <w:p w:rsidR="000807D5" w:rsidRDefault="00DB30EB" w:rsidP="00DB30EB">
      <w:pPr>
        <w:pStyle w:val="BlockText"/>
        <w:rPr>
          <w:rFonts w:ascii="Calibri" w:hAnsi="Calibri" w:cs="Calibri"/>
          <w:b w:val="0"/>
          <w:lang w:bidi="en-GB"/>
        </w:rPr>
      </w:pPr>
      <w:r w:rsidRPr="00DA10E3">
        <w:rPr>
          <w:rFonts w:ascii="Calibri" w:hAnsi="Calibri" w:cs="Calibri"/>
          <w:b w:val="0"/>
          <w:lang w:bidi="en-GB"/>
        </w:rPr>
        <w:t>Bryn Kinsey</w:t>
      </w:r>
    </w:p>
    <w:p w:rsidR="00DB30EB" w:rsidRPr="00DA10E3" w:rsidRDefault="00BC2746" w:rsidP="00DB30EB">
      <w:pPr>
        <w:pStyle w:val="BlockText"/>
        <w:rPr>
          <w:rFonts w:ascii="Calibri" w:hAnsi="Calibri" w:cs="Calibri"/>
          <w:b w:val="0"/>
          <w:lang w:bidi="en-GB"/>
        </w:rPr>
      </w:pPr>
      <w:r>
        <w:rPr>
          <w:rFonts w:ascii="Calibri" w:hAnsi="Calibri" w:cs="Calibri"/>
          <w:b w:val="0"/>
          <w:lang w:bidi="en-GB"/>
        </w:rPr>
        <w:t>Paul Hook</w:t>
      </w:r>
    </w:p>
    <w:p w:rsidR="00DB30EB" w:rsidRDefault="00DB30EB" w:rsidP="00DB30EB">
      <w:pPr>
        <w:pStyle w:val="BlockText"/>
        <w:rPr>
          <w:rFonts w:ascii="Calibri" w:hAnsi="Calibri" w:cs="Calibri"/>
          <w:lang w:bidi="en-GB"/>
        </w:rPr>
      </w:pPr>
      <w:r w:rsidRPr="00DA10E3">
        <w:rPr>
          <w:rFonts w:ascii="Calibri" w:hAnsi="Calibri" w:cs="Calibri"/>
          <w:b w:val="0"/>
          <w:lang w:bidi="en-GB"/>
        </w:rPr>
        <w:t>Sue Floyd</w:t>
      </w:r>
    </w:p>
    <w:p w:rsidR="00DB30EB" w:rsidRDefault="00DB30EB" w:rsidP="00DB30EB">
      <w:pPr>
        <w:pStyle w:val="BlockText"/>
        <w:rPr>
          <w:rFonts w:ascii="Calibri" w:hAnsi="Calibri" w:cs="Calibri"/>
          <w:lang w:bidi="en-GB"/>
        </w:rPr>
      </w:pPr>
    </w:p>
    <w:p w:rsidR="009048F7" w:rsidRPr="00DB30EB" w:rsidRDefault="00363E91" w:rsidP="00DB30EB">
      <w:pPr>
        <w:pStyle w:val="BlockText"/>
        <w:rPr>
          <w:rFonts w:ascii="Calibri" w:hAnsi="Calibri" w:cs="Calibri"/>
          <w:b w:val="0"/>
          <w:sz w:val="28"/>
          <w:szCs w:val="28"/>
        </w:rPr>
      </w:pPr>
      <w:r w:rsidRPr="00DB30EB">
        <w:rPr>
          <w:rFonts w:ascii="Calibri" w:hAnsi="Calibri" w:cs="Calibri"/>
          <w:b w:val="0"/>
          <w:sz w:val="28"/>
          <w:szCs w:val="28"/>
          <w:lang w:bidi="en-GB"/>
        </w:rPr>
        <w:t>Introduction</w:t>
      </w:r>
    </w:p>
    <w:p w:rsidR="001E0D7F" w:rsidRDefault="009A414D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Update on NP </w:t>
      </w:r>
      <w:r w:rsidR="00FB1CC7">
        <w:rPr>
          <w:rFonts w:ascii="Calibri" w:hAnsi="Calibri" w:cs="Calibri"/>
          <w:lang w:bidi="en-GB"/>
        </w:rPr>
        <w:t>P</w:t>
      </w:r>
      <w:r>
        <w:rPr>
          <w:rFonts w:ascii="Calibri" w:hAnsi="Calibri" w:cs="Calibri"/>
          <w:lang w:bidi="en-GB"/>
        </w:rPr>
        <w:t>rogress</w:t>
      </w:r>
    </w:p>
    <w:p w:rsidR="00FB1CC7" w:rsidRDefault="00FB1CC7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Roadmap</w:t>
      </w:r>
    </w:p>
    <w:p w:rsidR="00230EC9" w:rsidRDefault="009A414D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Regulation 14 Public Consultation</w:t>
      </w:r>
    </w:p>
    <w:p w:rsidR="00CB748C" w:rsidRDefault="00CB748C" w:rsidP="00467BD2">
      <w:pPr>
        <w:pStyle w:val="ListParagraph"/>
        <w:numPr>
          <w:ilvl w:val="0"/>
          <w:numId w:val="17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Funding</w:t>
      </w:r>
    </w:p>
    <w:p w:rsidR="009048F7" w:rsidRDefault="009D634A">
      <w:pPr>
        <w:pStyle w:val="Heading2"/>
        <w:rPr>
          <w:rFonts w:ascii="Calibri" w:hAnsi="Calibri" w:cs="Calibri"/>
          <w:sz w:val="28"/>
          <w:szCs w:val="28"/>
          <w:lang w:bidi="en-GB"/>
        </w:rPr>
      </w:pPr>
      <w:r w:rsidRPr="007C6352">
        <w:rPr>
          <w:rFonts w:ascii="Calibri" w:hAnsi="Calibri" w:cs="Calibri"/>
          <w:sz w:val="28"/>
          <w:szCs w:val="28"/>
          <w:lang w:bidi="en-GB"/>
        </w:rPr>
        <w:t>Discussion</w:t>
      </w:r>
    </w:p>
    <w:p w:rsidR="00FB1CC7" w:rsidRPr="002E0809" w:rsidRDefault="00FB1CC7" w:rsidP="00FB1CC7">
      <w:pPr>
        <w:pStyle w:val="ListParagraph"/>
        <w:numPr>
          <w:ilvl w:val="0"/>
          <w:numId w:val="21"/>
        </w:numPr>
        <w:rPr>
          <w:rFonts w:ascii="Calibri" w:hAnsi="Calibri" w:cs="Calibri"/>
          <w:lang w:bidi="en-GB"/>
        </w:rPr>
      </w:pPr>
      <w:r w:rsidRPr="002E0809">
        <w:rPr>
          <w:rFonts w:ascii="Calibri" w:hAnsi="Calibri" w:cs="Calibri"/>
          <w:lang w:bidi="en-GB"/>
        </w:rPr>
        <w:t>NP Progress</w:t>
      </w:r>
    </w:p>
    <w:p w:rsidR="00FB1CC7" w:rsidRDefault="003F27AD" w:rsidP="001B065B">
      <w:pPr>
        <w:spacing w:after="0"/>
        <w:ind w:left="360"/>
        <w:rPr>
          <w:rFonts w:ascii="Calibri" w:hAnsi="Calibri" w:cs="Calibri"/>
          <w:lang w:bidi="en-GB"/>
        </w:rPr>
      </w:pPr>
      <w:r w:rsidRPr="003F27AD">
        <w:rPr>
          <w:rFonts w:ascii="Calibri" w:hAnsi="Calibri" w:cs="Calibri"/>
          <w:lang w:bidi="en-GB"/>
        </w:rPr>
        <w:t xml:space="preserve">The final draft is now available and being subjected to scrutiny for accuracy, </w:t>
      </w:r>
      <w:r w:rsidR="001B065B">
        <w:rPr>
          <w:rFonts w:ascii="Calibri" w:hAnsi="Calibri" w:cs="Calibri"/>
          <w:lang w:bidi="en-GB"/>
        </w:rPr>
        <w:t>spelling and factual inaccuracies.</w:t>
      </w:r>
    </w:p>
    <w:p w:rsidR="001B065B" w:rsidRPr="003F27AD" w:rsidRDefault="001B065B" w:rsidP="001B065B">
      <w:pPr>
        <w:spacing w:after="0"/>
        <w:ind w:left="360"/>
        <w:rPr>
          <w:rFonts w:ascii="Calibri" w:hAnsi="Calibri" w:cs="Calibri"/>
          <w:lang w:bidi="en-GB"/>
        </w:rPr>
      </w:pPr>
    </w:p>
    <w:p w:rsidR="00FB1CC7" w:rsidRDefault="00FB1CC7" w:rsidP="00395FDA">
      <w:pPr>
        <w:pStyle w:val="ListParagraph"/>
        <w:numPr>
          <w:ilvl w:val="0"/>
          <w:numId w:val="21"/>
        </w:numPr>
        <w:rPr>
          <w:rFonts w:ascii="Calibri" w:hAnsi="Calibri" w:cs="Calibri"/>
          <w:lang w:bidi="en-GB"/>
        </w:rPr>
      </w:pPr>
      <w:r w:rsidRPr="009A21F9">
        <w:rPr>
          <w:rFonts w:ascii="Calibri" w:hAnsi="Calibri" w:cs="Calibri"/>
          <w:lang w:bidi="en-GB"/>
        </w:rPr>
        <w:t>Roadmap</w:t>
      </w:r>
      <w:r w:rsidR="00E55A7F">
        <w:rPr>
          <w:rFonts w:ascii="Calibri" w:hAnsi="Calibri" w:cs="Calibri"/>
          <w:lang w:bidi="en-GB"/>
        </w:rPr>
        <w:t xml:space="preserve"> - steps to completion</w:t>
      </w:r>
    </w:p>
    <w:p w:rsidR="00E55A7F" w:rsidRPr="00EF1E8D" w:rsidRDefault="00E55A7F" w:rsidP="00EF1E8D">
      <w:pPr>
        <w:pStyle w:val="ListParagraph"/>
        <w:numPr>
          <w:ilvl w:val="0"/>
          <w:numId w:val="22"/>
        </w:numPr>
        <w:spacing w:after="0"/>
        <w:rPr>
          <w:rFonts w:ascii="Calibri" w:hAnsi="Calibri" w:cs="Calibri"/>
          <w:lang w:bidi="en-GB"/>
        </w:rPr>
      </w:pPr>
      <w:r w:rsidRPr="00EF1E8D">
        <w:rPr>
          <w:rFonts w:ascii="Calibri" w:hAnsi="Calibri" w:cs="Calibri"/>
          <w:lang w:bidi="en-GB"/>
        </w:rPr>
        <w:t>Final draft post typos and amendments</w:t>
      </w:r>
    </w:p>
    <w:p w:rsidR="00395FDA" w:rsidRPr="00EF1E8D" w:rsidRDefault="00395FDA" w:rsidP="00EF1E8D">
      <w:pPr>
        <w:pStyle w:val="ListParagraph"/>
        <w:numPr>
          <w:ilvl w:val="0"/>
          <w:numId w:val="22"/>
        </w:numPr>
        <w:spacing w:after="0"/>
        <w:rPr>
          <w:rFonts w:ascii="Calibri" w:hAnsi="Calibri" w:cs="Calibri"/>
          <w:lang w:bidi="en-GB"/>
        </w:rPr>
      </w:pPr>
      <w:r w:rsidRPr="00EF1E8D">
        <w:rPr>
          <w:rFonts w:ascii="Calibri" w:hAnsi="Calibri" w:cs="Calibri"/>
          <w:lang w:bidi="en-GB"/>
        </w:rPr>
        <w:t>Submitted to the PC for validation</w:t>
      </w:r>
    </w:p>
    <w:p w:rsidR="00395FDA" w:rsidRDefault="00395FDA" w:rsidP="00EF1E8D">
      <w:pPr>
        <w:pStyle w:val="ListParagraph"/>
        <w:numPr>
          <w:ilvl w:val="0"/>
          <w:numId w:val="22"/>
        </w:numPr>
        <w:spacing w:after="0"/>
        <w:rPr>
          <w:rFonts w:ascii="Calibri" w:hAnsi="Calibri" w:cs="Calibri"/>
          <w:lang w:bidi="en-GB"/>
        </w:rPr>
      </w:pPr>
      <w:r w:rsidRPr="00EF1E8D">
        <w:rPr>
          <w:rFonts w:ascii="Calibri" w:hAnsi="Calibri" w:cs="Calibri"/>
          <w:lang w:bidi="en-GB"/>
        </w:rPr>
        <w:t xml:space="preserve">Prepare for </w:t>
      </w:r>
      <w:r w:rsidR="000B7AA5">
        <w:rPr>
          <w:rFonts w:ascii="Calibri" w:hAnsi="Calibri" w:cs="Calibri"/>
          <w:lang w:bidi="en-GB"/>
        </w:rPr>
        <w:t xml:space="preserve">a </w:t>
      </w:r>
      <w:r w:rsidRPr="00EF1E8D">
        <w:rPr>
          <w:rFonts w:ascii="Calibri" w:hAnsi="Calibri" w:cs="Calibri"/>
          <w:lang w:bidi="en-GB"/>
        </w:rPr>
        <w:t>Regulation 14 consultation</w:t>
      </w:r>
    </w:p>
    <w:p w:rsidR="00AE5069" w:rsidRPr="00AE5069" w:rsidRDefault="00AE5069" w:rsidP="00AE5069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This is not a simple voting procedure, but a </w:t>
      </w:r>
      <w:r w:rsidR="00BC1A93">
        <w:rPr>
          <w:rFonts w:ascii="Calibri" w:hAnsi="Calibri" w:cs="Calibri"/>
          <w:lang w:bidi="en-GB"/>
        </w:rPr>
        <w:t>formal consultation seeking written comments on an</w:t>
      </w:r>
      <w:r w:rsidR="00E16C11">
        <w:rPr>
          <w:rFonts w:ascii="Calibri" w:hAnsi="Calibri" w:cs="Calibri"/>
          <w:lang w:bidi="en-GB"/>
        </w:rPr>
        <w:t>y aspect of the NP. We have to engage</w:t>
      </w:r>
      <w:r w:rsidR="00BC1A93">
        <w:rPr>
          <w:rFonts w:ascii="Calibri" w:hAnsi="Calibri" w:cs="Calibri"/>
          <w:lang w:bidi="en-GB"/>
        </w:rPr>
        <w:t xml:space="preserve"> with all stakeholders to include employers e</w:t>
      </w:r>
      <w:r w:rsidR="00E233ED">
        <w:rPr>
          <w:rFonts w:ascii="Calibri" w:hAnsi="Calibri" w:cs="Calibri"/>
          <w:lang w:bidi="en-GB"/>
        </w:rPr>
        <w:t>tc and some statutory bodies. We will have to review all comments and adjust the NP if necessary</w:t>
      </w:r>
      <w:r w:rsidR="00E97068">
        <w:rPr>
          <w:rFonts w:ascii="Calibri" w:hAnsi="Calibri" w:cs="Calibri"/>
          <w:lang w:bidi="en-GB"/>
        </w:rPr>
        <w:t>.</w:t>
      </w:r>
    </w:p>
    <w:p w:rsidR="00EF1E8D" w:rsidRDefault="00EF1E8D" w:rsidP="00EF1E8D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Due to the pand</w:t>
      </w:r>
      <w:r w:rsidR="00AE5069">
        <w:rPr>
          <w:rFonts w:ascii="Calibri" w:hAnsi="Calibri" w:cs="Calibri"/>
          <w:lang w:bidi="en-GB"/>
        </w:rPr>
        <w:t>e</w:t>
      </w:r>
      <w:r w:rsidR="003210EB">
        <w:rPr>
          <w:rFonts w:ascii="Calibri" w:hAnsi="Calibri" w:cs="Calibri"/>
          <w:lang w:bidi="en-GB"/>
        </w:rPr>
        <w:t>m</w:t>
      </w:r>
      <w:r>
        <w:rPr>
          <w:rFonts w:ascii="Calibri" w:hAnsi="Calibri" w:cs="Calibri"/>
          <w:lang w:bidi="en-GB"/>
        </w:rPr>
        <w:t>ic we are unable to hold a physical</w:t>
      </w:r>
      <w:r w:rsidR="000B7AA5">
        <w:rPr>
          <w:rFonts w:ascii="Calibri" w:hAnsi="Calibri" w:cs="Calibri"/>
          <w:lang w:bidi="en-GB"/>
        </w:rPr>
        <w:t xml:space="preserve"> public consultation. We are therefore preparing a similar process to the second public consultation, namely a leaflet to be distributed to all residents</w:t>
      </w:r>
      <w:r w:rsidR="00E97068">
        <w:rPr>
          <w:rFonts w:ascii="Calibri" w:hAnsi="Calibri" w:cs="Calibri"/>
          <w:lang w:bidi="en-GB"/>
        </w:rPr>
        <w:t xml:space="preserve"> containing a summary of the key points of the pre-submission NP. We will also leave plenty of room </w:t>
      </w:r>
      <w:r w:rsidR="00342113">
        <w:rPr>
          <w:rFonts w:ascii="Calibri" w:hAnsi="Calibri" w:cs="Calibri"/>
          <w:lang w:bidi="en-GB"/>
        </w:rPr>
        <w:t xml:space="preserve">in the leaflet </w:t>
      </w:r>
      <w:r w:rsidR="00E97068">
        <w:rPr>
          <w:rFonts w:ascii="Calibri" w:hAnsi="Calibri" w:cs="Calibri"/>
          <w:lang w:bidi="en-GB"/>
        </w:rPr>
        <w:t xml:space="preserve">for </w:t>
      </w:r>
      <w:r w:rsidR="00342113">
        <w:rPr>
          <w:rFonts w:ascii="Calibri" w:hAnsi="Calibri" w:cs="Calibri"/>
          <w:lang w:bidi="en-GB"/>
        </w:rPr>
        <w:t xml:space="preserve">responses. An envelope to </w:t>
      </w:r>
      <w:r w:rsidR="008D2D81">
        <w:rPr>
          <w:rFonts w:ascii="Calibri" w:hAnsi="Calibri" w:cs="Calibri"/>
          <w:lang w:bidi="en-GB"/>
        </w:rPr>
        <w:t>contain the responses</w:t>
      </w:r>
      <w:r w:rsidR="00342113">
        <w:rPr>
          <w:rFonts w:ascii="Calibri" w:hAnsi="Calibri" w:cs="Calibri"/>
          <w:lang w:bidi="en-GB"/>
        </w:rPr>
        <w:t xml:space="preserve"> and drop </w:t>
      </w:r>
      <w:r w:rsidR="008D2D81">
        <w:rPr>
          <w:rFonts w:ascii="Calibri" w:hAnsi="Calibri" w:cs="Calibri"/>
          <w:lang w:bidi="en-GB"/>
        </w:rPr>
        <w:t>off points in the village will b</w:t>
      </w:r>
      <w:r w:rsidR="00342113">
        <w:rPr>
          <w:rFonts w:ascii="Calibri" w:hAnsi="Calibri" w:cs="Calibri"/>
          <w:lang w:bidi="en-GB"/>
        </w:rPr>
        <w:t xml:space="preserve">e needed again. </w:t>
      </w:r>
      <w:r w:rsidR="008D2D81">
        <w:rPr>
          <w:rFonts w:ascii="Calibri" w:hAnsi="Calibri" w:cs="Calibri"/>
          <w:lang w:bidi="en-GB"/>
        </w:rPr>
        <w:t xml:space="preserve"> The inspector will want to see this evidence.</w:t>
      </w:r>
    </w:p>
    <w:p w:rsidR="00B057C6" w:rsidRDefault="00B057C6" w:rsidP="00EF1E8D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There is a</w:t>
      </w:r>
      <w:r w:rsidR="00C64B13">
        <w:rPr>
          <w:rFonts w:ascii="Calibri" w:hAnsi="Calibri" w:cs="Calibri"/>
          <w:lang w:bidi="en-GB"/>
        </w:rPr>
        <w:t xml:space="preserve"> </w:t>
      </w:r>
      <w:proofErr w:type="gramStart"/>
      <w:r w:rsidR="00C64B13">
        <w:rPr>
          <w:rFonts w:ascii="Calibri" w:hAnsi="Calibri" w:cs="Calibri"/>
          <w:lang w:bidi="en-GB"/>
        </w:rPr>
        <w:t xml:space="preserve">Microsoft </w:t>
      </w:r>
      <w:r>
        <w:rPr>
          <w:rFonts w:ascii="Calibri" w:hAnsi="Calibri" w:cs="Calibri"/>
          <w:lang w:bidi="en-GB"/>
        </w:rPr>
        <w:t xml:space="preserve"> Teams</w:t>
      </w:r>
      <w:proofErr w:type="gramEnd"/>
      <w:r>
        <w:rPr>
          <w:rFonts w:ascii="Calibri" w:hAnsi="Calibri" w:cs="Calibri"/>
          <w:lang w:bidi="en-GB"/>
        </w:rPr>
        <w:t xml:space="preserve"> meeting planned for next week for Sue, Will and myself to draft the leaflet</w:t>
      </w:r>
      <w:r w:rsidR="001211DC">
        <w:rPr>
          <w:rFonts w:ascii="Calibri" w:hAnsi="Calibri" w:cs="Calibri"/>
          <w:lang w:bidi="en-GB"/>
        </w:rPr>
        <w:t>. When finalised we will circulate for validation.</w:t>
      </w:r>
    </w:p>
    <w:p w:rsidR="001211DC" w:rsidRDefault="001211DC" w:rsidP="00EF1E8D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 xml:space="preserve">The full draft will be available on our website, but this time we may see a number of </w:t>
      </w:r>
      <w:r w:rsidR="006312F3">
        <w:rPr>
          <w:rFonts w:ascii="Calibri" w:hAnsi="Calibri" w:cs="Calibri"/>
          <w:lang w:bidi="en-GB"/>
        </w:rPr>
        <w:t>queries. For those residents who don’t have access to a computer then we will print in advance 20 copies to distribute. BDC can do this for about £6 per copy</w:t>
      </w:r>
      <w:r w:rsidR="002679F2">
        <w:rPr>
          <w:rFonts w:ascii="Calibri" w:hAnsi="Calibri" w:cs="Calibri"/>
          <w:lang w:bidi="en-GB"/>
        </w:rPr>
        <w:t>. We will also provide an email address and a telephone number to receive queries.</w:t>
      </w:r>
      <w:r w:rsidR="00535D87">
        <w:rPr>
          <w:rFonts w:ascii="Calibri" w:hAnsi="Calibri" w:cs="Calibri"/>
          <w:lang w:bidi="en-GB"/>
        </w:rPr>
        <w:t xml:space="preserve"> We are not willing to provide personal details.</w:t>
      </w:r>
      <w:r w:rsidR="00DC72F2">
        <w:rPr>
          <w:rFonts w:ascii="Calibri" w:hAnsi="Calibri" w:cs="Calibri"/>
          <w:lang w:bidi="en-GB"/>
        </w:rPr>
        <w:t xml:space="preserve"> Mel is happy to use the normal PC contact details.</w:t>
      </w:r>
    </w:p>
    <w:p w:rsidR="00E16C11" w:rsidRDefault="00E16C11" w:rsidP="00EF1E8D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lastRenderedPageBreak/>
        <w:t xml:space="preserve">We </w:t>
      </w:r>
      <w:r w:rsidR="001E646C">
        <w:rPr>
          <w:rFonts w:ascii="Calibri" w:hAnsi="Calibri" w:cs="Calibri"/>
          <w:lang w:bidi="en-GB"/>
        </w:rPr>
        <w:t>ha</w:t>
      </w:r>
      <w:r>
        <w:rPr>
          <w:rFonts w:ascii="Calibri" w:hAnsi="Calibri" w:cs="Calibri"/>
          <w:lang w:bidi="en-GB"/>
        </w:rPr>
        <w:t xml:space="preserve">ve missed the deadline for October distribution with </w:t>
      </w:r>
      <w:proofErr w:type="spellStart"/>
      <w:r>
        <w:rPr>
          <w:rFonts w:ascii="Calibri" w:hAnsi="Calibri" w:cs="Calibri"/>
          <w:lang w:bidi="en-GB"/>
        </w:rPr>
        <w:t>Ranskill</w:t>
      </w:r>
      <w:proofErr w:type="spellEnd"/>
      <w:r>
        <w:rPr>
          <w:rFonts w:ascii="Calibri" w:hAnsi="Calibri" w:cs="Calibri"/>
          <w:lang w:bidi="en-GB"/>
        </w:rPr>
        <w:t xml:space="preserve"> Life</w:t>
      </w:r>
      <w:r w:rsidR="001E646C">
        <w:rPr>
          <w:rFonts w:ascii="Calibri" w:hAnsi="Calibri" w:cs="Calibri"/>
          <w:lang w:bidi="en-GB"/>
        </w:rPr>
        <w:t xml:space="preserve">. The next magazine will be issued early to mid November and we intend to circulate the leaflet with this issue. This formal consultation </w:t>
      </w:r>
      <w:r w:rsidR="00BE223E">
        <w:rPr>
          <w:rFonts w:ascii="Calibri" w:hAnsi="Calibri" w:cs="Calibri"/>
          <w:lang w:bidi="en-GB"/>
        </w:rPr>
        <w:t xml:space="preserve">has to be over a period of 6 weeks. Due to Christmas we will extend the period from </w:t>
      </w:r>
      <w:r w:rsidR="008A743D">
        <w:rPr>
          <w:rFonts w:ascii="Calibri" w:hAnsi="Calibri" w:cs="Calibri"/>
          <w:lang w:bidi="en-GB"/>
        </w:rPr>
        <w:t>mid November to mid January.</w:t>
      </w:r>
    </w:p>
    <w:p w:rsidR="00E37B20" w:rsidRDefault="00E37B20" w:rsidP="00E37B20">
      <w:pPr>
        <w:pStyle w:val="ListParagraph"/>
        <w:numPr>
          <w:ilvl w:val="0"/>
          <w:numId w:val="23"/>
        </w:numPr>
        <w:spacing w:after="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Regulation 14 consultation</w:t>
      </w:r>
    </w:p>
    <w:p w:rsidR="00E37B20" w:rsidRDefault="00E37B20" w:rsidP="00E37B20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Launch mid November and review all comments</w:t>
      </w:r>
      <w:r w:rsidR="00535D87">
        <w:rPr>
          <w:rFonts w:ascii="Calibri" w:hAnsi="Calibri" w:cs="Calibri"/>
          <w:lang w:bidi="en-GB"/>
        </w:rPr>
        <w:t xml:space="preserve"> by mid February and incorporate in the NP if necessary.</w:t>
      </w:r>
    </w:p>
    <w:p w:rsidR="00535D87" w:rsidRDefault="000F2D5C" w:rsidP="00535D87">
      <w:pPr>
        <w:pStyle w:val="ListParagraph"/>
        <w:numPr>
          <w:ilvl w:val="0"/>
          <w:numId w:val="23"/>
        </w:numPr>
        <w:spacing w:after="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Strategic Environmental Assessment</w:t>
      </w:r>
    </w:p>
    <w:p w:rsidR="000F2D5C" w:rsidRDefault="000F2D5C" w:rsidP="000F2D5C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A scree</w:t>
      </w:r>
      <w:r w:rsidR="00C71D8C">
        <w:rPr>
          <w:rFonts w:ascii="Calibri" w:hAnsi="Calibri" w:cs="Calibri"/>
          <w:lang w:bidi="en-GB"/>
        </w:rPr>
        <w:t>n</w:t>
      </w:r>
      <w:r>
        <w:rPr>
          <w:rFonts w:ascii="Calibri" w:hAnsi="Calibri" w:cs="Calibri"/>
          <w:lang w:bidi="en-GB"/>
        </w:rPr>
        <w:t>ing will be carried out by BDC to determine if a SEA is required</w:t>
      </w:r>
      <w:r w:rsidR="00131149">
        <w:rPr>
          <w:rFonts w:ascii="Calibri" w:hAnsi="Calibri" w:cs="Calibri"/>
          <w:lang w:bidi="en-GB"/>
        </w:rPr>
        <w:t xml:space="preserve"> for NP19 the new development</w:t>
      </w:r>
      <w:r>
        <w:rPr>
          <w:rFonts w:ascii="Calibri" w:hAnsi="Calibri" w:cs="Calibri"/>
          <w:lang w:bidi="en-GB"/>
        </w:rPr>
        <w:t xml:space="preserve">. This will take place </w:t>
      </w:r>
      <w:r w:rsidR="00C71D8C">
        <w:rPr>
          <w:rFonts w:ascii="Calibri" w:hAnsi="Calibri" w:cs="Calibri"/>
          <w:lang w:bidi="en-GB"/>
        </w:rPr>
        <w:t xml:space="preserve">during the </w:t>
      </w:r>
      <w:proofErr w:type="spellStart"/>
      <w:r w:rsidR="00C71D8C">
        <w:rPr>
          <w:rFonts w:ascii="Calibri" w:hAnsi="Calibri" w:cs="Calibri"/>
          <w:lang w:bidi="en-GB"/>
        </w:rPr>
        <w:t>Reg</w:t>
      </w:r>
      <w:proofErr w:type="spellEnd"/>
      <w:r w:rsidR="00C71D8C">
        <w:rPr>
          <w:rFonts w:ascii="Calibri" w:hAnsi="Calibri" w:cs="Calibri"/>
          <w:lang w:bidi="en-GB"/>
        </w:rPr>
        <w:t xml:space="preserve"> 14 consultation. If a report is required we may need to appoint AECOM to provide this document, which is submitted to </w:t>
      </w:r>
      <w:r w:rsidR="00131149">
        <w:rPr>
          <w:rFonts w:ascii="Calibri" w:hAnsi="Calibri" w:cs="Calibri"/>
          <w:lang w:bidi="en-GB"/>
        </w:rPr>
        <w:t xml:space="preserve">Historic England, the Environment Agency and </w:t>
      </w:r>
      <w:r w:rsidR="00920AB1">
        <w:rPr>
          <w:rFonts w:ascii="Calibri" w:hAnsi="Calibri" w:cs="Calibri"/>
          <w:lang w:bidi="en-GB"/>
        </w:rPr>
        <w:t>Natural England. The location of NP19 is compared to the proximity of European designated wildlife s</w:t>
      </w:r>
      <w:r w:rsidR="000B2C21">
        <w:rPr>
          <w:rFonts w:ascii="Calibri" w:hAnsi="Calibri" w:cs="Calibri"/>
          <w:lang w:bidi="en-GB"/>
        </w:rPr>
        <w:t>ites, parts of Sherwood Forest and Clumber Park.</w:t>
      </w:r>
    </w:p>
    <w:p w:rsidR="000B2C21" w:rsidRDefault="000B2C21" w:rsidP="000F2D5C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This could delay final publication for a few weeks.</w:t>
      </w:r>
    </w:p>
    <w:p w:rsidR="000B2C21" w:rsidRDefault="00E07D48" w:rsidP="000B2C21">
      <w:pPr>
        <w:pStyle w:val="ListParagraph"/>
        <w:numPr>
          <w:ilvl w:val="0"/>
          <w:numId w:val="23"/>
        </w:numPr>
        <w:spacing w:after="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Consultation Statement</w:t>
      </w:r>
    </w:p>
    <w:p w:rsidR="00E07D48" w:rsidRDefault="00E07D48" w:rsidP="00E07D48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To be written by the steering group to outline our actions in our consultations and the whole process</w:t>
      </w:r>
    </w:p>
    <w:p w:rsidR="00E07D48" w:rsidRDefault="00C05FDB" w:rsidP="00E07D48">
      <w:pPr>
        <w:pStyle w:val="ListParagraph"/>
        <w:numPr>
          <w:ilvl w:val="0"/>
          <w:numId w:val="23"/>
        </w:numPr>
        <w:spacing w:after="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Regulation 15 Submission</w:t>
      </w:r>
    </w:p>
    <w:p w:rsidR="00C05FDB" w:rsidRDefault="00C05FDB" w:rsidP="00C05FDB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Submit the final document to BDC for a consultative period of 6 weeks</w:t>
      </w:r>
      <w:r w:rsidR="00405BFA">
        <w:rPr>
          <w:rFonts w:ascii="Calibri" w:hAnsi="Calibri" w:cs="Calibri"/>
          <w:lang w:bidi="en-GB"/>
        </w:rPr>
        <w:t>, following Helen adding consultation statements.</w:t>
      </w:r>
    </w:p>
    <w:p w:rsidR="00405BFA" w:rsidRDefault="00405BFA" w:rsidP="00405BFA">
      <w:pPr>
        <w:pStyle w:val="ListParagraph"/>
        <w:numPr>
          <w:ilvl w:val="0"/>
          <w:numId w:val="23"/>
        </w:numPr>
        <w:spacing w:after="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Submission to an Examiner</w:t>
      </w:r>
    </w:p>
    <w:p w:rsidR="00405BFA" w:rsidRDefault="00405BFA" w:rsidP="00405BFA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Formal approval of our do</w:t>
      </w:r>
      <w:r w:rsidR="00D74D54">
        <w:rPr>
          <w:rFonts w:ascii="Calibri" w:hAnsi="Calibri" w:cs="Calibri"/>
          <w:lang w:bidi="en-GB"/>
        </w:rPr>
        <w:t>c</w:t>
      </w:r>
      <w:r>
        <w:rPr>
          <w:rFonts w:ascii="Calibri" w:hAnsi="Calibri" w:cs="Calibri"/>
          <w:lang w:bidi="en-GB"/>
        </w:rPr>
        <w:t>uments</w:t>
      </w:r>
    </w:p>
    <w:p w:rsidR="00D74D54" w:rsidRDefault="00FC7B39" w:rsidP="00D74D54">
      <w:pPr>
        <w:pStyle w:val="ListParagraph"/>
        <w:numPr>
          <w:ilvl w:val="0"/>
          <w:numId w:val="23"/>
        </w:numPr>
        <w:spacing w:after="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Village</w:t>
      </w:r>
      <w:r w:rsidR="00D74D54">
        <w:rPr>
          <w:rFonts w:ascii="Calibri" w:hAnsi="Calibri" w:cs="Calibri"/>
          <w:lang w:bidi="en-GB"/>
        </w:rPr>
        <w:t xml:space="preserve"> Referendum</w:t>
      </w:r>
    </w:p>
    <w:p w:rsidR="00D74D54" w:rsidRDefault="00FC7B39" w:rsidP="00D74D54">
      <w:pPr>
        <w:spacing w:after="0"/>
        <w:ind w:left="108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This is the f</w:t>
      </w:r>
      <w:r w:rsidR="00D74D54">
        <w:rPr>
          <w:rFonts w:ascii="Calibri" w:hAnsi="Calibri" w:cs="Calibri"/>
          <w:lang w:bidi="en-GB"/>
        </w:rPr>
        <w:t xml:space="preserve">inal consultation where the village </w:t>
      </w:r>
      <w:r w:rsidR="00AA655D">
        <w:rPr>
          <w:rFonts w:ascii="Calibri" w:hAnsi="Calibri" w:cs="Calibri"/>
          <w:lang w:bidi="en-GB"/>
        </w:rPr>
        <w:t xml:space="preserve">votes to </w:t>
      </w:r>
      <w:r w:rsidR="00D74D54">
        <w:rPr>
          <w:rFonts w:ascii="Calibri" w:hAnsi="Calibri" w:cs="Calibri"/>
          <w:lang w:bidi="en-GB"/>
        </w:rPr>
        <w:t>accept the NP.</w:t>
      </w:r>
    </w:p>
    <w:p w:rsidR="00D74D54" w:rsidRDefault="00D74D54" w:rsidP="00D74D54">
      <w:pPr>
        <w:spacing w:after="0"/>
        <w:ind w:left="1080"/>
        <w:rPr>
          <w:rFonts w:ascii="Calibri" w:hAnsi="Calibri" w:cs="Calibri"/>
          <w:lang w:bidi="en-GB"/>
        </w:rPr>
      </w:pPr>
    </w:p>
    <w:p w:rsidR="00D74D54" w:rsidRDefault="00D74D54" w:rsidP="00D74D54">
      <w:pPr>
        <w:spacing w:after="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This whole process is likely to last until June/July 20</w:t>
      </w:r>
      <w:r w:rsidR="003C7717">
        <w:rPr>
          <w:rFonts w:ascii="Calibri" w:hAnsi="Calibri" w:cs="Calibri"/>
          <w:lang w:bidi="en-GB"/>
        </w:rPr>
        <w:t>21.</w:t>
      </w:r>
    </w:p>
    <w:p w:rsidR="003C7717" w:rsidRDefault="003C7717" w:rsidP="00D74D54">
      <w:pPr>
        <w:spacing w:after="0"/>
        <w:rPr>
          <w:rFonts w:ascii="Calibri" w:hAnsi="Calibri" w:cs="Calibri"/>
          <w:lang w:bidi="en-GB"/>
        </w:rPr>
      </w:pPr>
    </w:p>
    <w:p w:rsidR="003C7717" w:rsidRDefault="00193F74" w:rsidP="003C7717">
      <w:pPr>
        <w:pStyle w:val="ListParagraph"/>
        <w:numPr>
          <w:ilvl w:val="0"/>
          <w:numId w:val="21"/>
        </w:numPr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Funding</w:t>
      </w:r>
    </w:p>
    <w:p w:rsidR="00193F74" w:rsidRDefault="00193F74" w:rsidP="00193F74">
      <w:pPr>
        <w:ind w:left="360"/>
        <w:rPr>
          <w:rFonts w:ascii="Calibri" w:hAnsi="Calibri" w:cs="Calibri"/>
          <w:lang w:bidi="en-GB"/>
        </w:rPr>
      </w:pPr>
      <w:r>
        <w:rPr>
          <w:rFonts w:ascii="Calibri" w:hAnsi="Calibri" w:cs="Calibri"/>
          <w:lang w:bidi="en-GB"/>
        </w:rPr>
        <w:t>We can apply for further funding of about £1k to cover the cost of communication costs where we can’t hold physical meetings.</w:t>
      </w:r>
      <w:r w:rsidR="00AA655D">
        <w:rPr>
          <w:rFonts w:ascii="Calibri" w:hAnsi="Calibri" w:cs="Calibri"/>
          <w:lang w:bidi="en-GB"/>
        </w:rPr>
        <w:t xml:space="preserve"> I’ll ask </w:t>
      </w:r>
      <w:r w:rsidR="00FC7B39">
        <w:rPr>
          <w:rFonts w:ascii="Calibri" w:hAnsi="Calibri" w:cs="Calibri"/>
          <w:lang w:bidi="en-GB"/>
        </w:rPr>
        <w:t>M</w:t>
      </w:r>
      <w:r w:rsidR="00AA655D">
        <w:rPr>
          <w:rFonts w:ascii="Calibri" w:hAnsi="Calibri" w:cs="Calibri"/>
          <w:lang w:bidi="en-GB"/>
        </w:rPr>
        <w:t>el to apply for these extra funds.</w:t>
      </w:r>
    </w:p>
    <w:p w:rsidR="00193F74" w:rsidRPr="00193F74" w:rsidRDefault="00B4570E" w:rsidP="00AA655D">
      <w:pPr>
        <w:pStyle w:val="Heading2"/>
        <w:rPr>
          <w:rFonts w:ascii="Calibri" w:hAnsi="Calibri" w:cs="Calibri"/>
          <w:lang w:bidi="en-GB"/>
        </w:rPr>
      </w:pPr>
      <w:r>
        <w:rPr>
          <w:rFonts w:ascii="Calibri" w:hAnsi="Calibri" w:cs="Calibri"/>
          <w:sz w:val="28"/>
          <w:szCs w:val="28"/>
          <w:lang w:bidi="en-GB"/>
        </w:rPr>
        <w:t>Further Action</w:t>
      </w:r>
    </w:p>
    <w:p w:rsidR="006C6DFD" w:rsidRDefault="006C6DFD" w:rsidP="006C6DFD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BK</w:t>
      </w:r>
      <w:r w:rsidR="001A6E67">
        <w:rPr>
          <w:rFonts w:ascii="Calibri" w:hAnsi="Calibri" w:cs="Calibri"/>
        </w:rPr>
        <w:t>/SF meeting with Will</w:t>
      </w:r>
      <w:r w:rsidR="000642DB">
        <w:rPr>
          <w:rFonts w:ascii="Calibri" w:hAnsi="Calibri" w:cs="Calibri"/>
        </w:rPr>
        <w:t xml:space="preserve"> next Wednesday </w:t>
      </w:r>
      <w:r w:rsidR="001A6E67">
        <w:rPr>
          <w:rFonts w:ascii="Calibri" w:hAnsi="Calibri" w:cs="Calibri"/>
        </w:rPr>
        <w:t>to finalise the leaflet draft for the next consultation</w:t>
      </w:r>
      <w:r>
        <w:rPr>
          <w:rFonts w:ascii="Calibri" w:hAnsi="Calibri" w:cs="Calibri"/>
        </w:rPr>
        <w:t>.</w:t>
      </w:r>
    </w:p>
    <w:p w:rsidR="000642DB" w:rsidRPr="00DB59F0" w:rsidRDefault="006C6DFD" w:rsidP="000642DB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DB59F0">
        <w:rPr>
          <w:rFonts w:ascii="Calibri" w:hAnsi="Calibri" w:cs="Calibri"/>
        </w:rPr>
        <w:t>BK to finalise the leaflet</w:t>
      </w:r>
      <w:r w:rsidR="000642DB" w:rsidRPr="00DB59F0">
        <w:rPr>
          <w:rFonts w:ascii="Calibri" w:hAnsi="Calibri" w:cs="Calibri"/>
        </w:rPr>
        <w:t xml:space="preserve"> price with </w:t>
      </w:r>
      <w:proofErr w:type="spellStart"/>
      <w:r w:rsidR="000642DB" w:rsidRPr="00DB59F0">
        <w:rPr>
          <w:rFonts w:ascii="Calibri" w:hAnsi="Calibri" w:cs="Calibri"/>
        </w:rPr>
        <w:t>Ranskill</w:t>
      </w:r>
      <w:proofErr w:type="spellEnd"/>
      <w:r w:rsidR="000642DB" w:rsidRPr="00DB59F0">
        <w:rPr>
          <w:rFonts w:ascii="Calibri" w:hAnsi="Calibri" w:cs="Calibri"/>
        </w:rPr>
        <w:t xml:space="preserve"> Life</w:t>
      </w:r>
      <w:r w:rsidRPr="00DB59F0">
        <w:rPr>
          <w:rFonts w:ascii="Calibri" w:hAnsi="Calibri" w:cs="Calibri"/>
        </w:rPr>
        <w:t>.</w:t>
      </w:r>
    </w:p>
    <w:p w:rsidR="00DB59F0" w:rsidRDefault="00DB59F0" w:rsidP="00DB59F0">
      <w:pPr>
        <w:pStyle w:val="Heading2"/>
        <w:rPr>
          <w:rFonts w:ascii="Calibri" w:hAnsi="Calibri" w:cs="Calibri"/>
          <w:sz w:val="28"/>
          <w:szCs w:val="28"/>
          <w:lang w:bidi="en-GB"/>
        </w:rPr>
      </w:pPr>
      <w:r>
        <w:rPr>
          <w:rFonts w:ascii="Calibri" w:hAnsi="Calibri" w:cs="Calibri"/>
          <w:sz w:val="28"/>
          <w:szCs w:val="28"/>
          <w:lang w:bidi="en-GB"/>
        </w:rPr>
        <w:t>Next Meeting</w:t>
      </w:r>
    </w:p>
    <w:p w:rsidR="000642DB" w:rsidRDefault="00DB59F0" w:rsidP="001C0DC3">
      <w:pPr>
        <w:rPr>
          <w:rFonts w:ascii="Calibri" w:hAnsi="Calibri" w:cs="Calibri"/>
        </w:rPr>
      </w:pPr>
      <w:r w:rsidRPr="00DB59F0">
        <w:rPr>
          <w:rFonts w:ascii="Calibri" w:hAnsi="Calibri" w:cs="Calibri"/>
          <w:lang w:bidi="en-GB"/>
        </w:rPr>
        <w:t>Around 15</w:t>
      </w:r>
      <w:r w:rsidRPr="00DB59F0">
        <w:rPr>
          <w:rFonts w:ascii="Calibri" w:hAnsi="Calibri" w:cs="Calibri"/>
          <w:vertAlign w:val="superscript"/>
          <w:lang w:bidi="en-GB"/>
        </w:rPr>
        <w:t>th</w:t>
      </w:r>
      <w:r w:rsidRPr="00DB59F0">
        <w:rPr>
          <w:rFonts w:ascii="Calibri" w:hAnsi="Calibri" w:cs="Calibri"/>
          <w:lang w:bidi="en-GB"/>
        </w:rPr>
        <w:t xml:space="preserve"> October</w:t>
      </w:r>
      <w:r>
        <w:rPr>
          <w:rFonts w:ascii="Calibri" w:hAnsi="Calibri" w:cs="Calibri"/>
          <w:lang w:bidi="en-GB"/>
        </w:rPr>
        <w:t xml:space="preserve"> to </w:t>
      </w:r>
      <w:r w:rsidR="0031044D">
        <w:rPr>
          <w:rFonts w:ascii="Calibri" w:hAnsi="Calibri" w:cs="Calibri"/>
          <w:lang w:bidi="en-GB"/>
        </w:rPr>
        <w:t>confirm the print run of the leaflet.</w:t>
      </w:r>
    </w:p>
    <w:p w:rsidR="003C7717" w:rsidRPr="003C7717" w:rsidRDefault="003C7717" w:rsidP="003C7717">
      <w:pPr>
        <w:spacing w:after="0"/>
        <w:rPr>
          <w:rFonts w:ascii="Calibri" w:hAnsi="Calibri" w:cs="Calibri"/>
          <w:lang w:bidi="en-GB"/>
        </w:rPr>
      </w:pPr>
    </w:p>
    <w:p w:rsidR="00395FDA" w:rsidRDefault="00395FDA" w:rsidP="00395FDA">
      <w:pPr>
        <w:spacing w:after="0"/>
        <w:ind w:left="360"/>
        <w:rPr>
          <w:rFonts w:ascii="Calibri" w:hAnsi="Calibri" w:cs="Calibri"/>
          <w:lang w:bidi="en-GB"/>
        </w:rPr>
      </w:pPr>
    </w:p>
    <w:p w:rsidR="00395FDA" w:rsidRDefault="00395FDA" w:rsidP="00E55A7F">
      <w:pPr>
        <w:ind w:left="360"/>
        <w:rPr>
          <w:rFonts w:ascii="Calibri" w:hAnsi="Calibri" w:cs="Calibri"/>
          <w:lang w:bidi="en-GB"/>
        </w:rPr>
      </w:pPr>
    </w:p>
    <w:p w:rsidR="00B62EA8" w:rsidRPr="00505993" w:rsidRDefault="00B62EA8" w:rsidP="00B62EA8">
      <w:pPr>
        <w:spacing w:before="100" w:after="100" w:line="240" w:lineRule="auto"/>
        <w:ind w:right="720"/>
        <w:rPr>
          <w:rFonts w:ascii="Calibri" w:eastAsia="Times New Roman" w:hAnsi="Calibri" w:cs="Calibri"/>
          <w:color w:val="26282A"/>
          <w:lang w:eastAsia="en-GB"/>
        </w:rPr>
      </w:pPr>
    </w:p>
    <w:p w:rsidR="00354104" w:rsidRPr="00505993" w:rsidRDefault="00354104" w:rsidP="00B62EA8">
      <w:pPr>
        <w:rPr>
          <w:rFonts w:ascii="Calibri" w:hAnsi="Calibri" w:cs="Calibri"/>
        </w:rPr>
      </w:pPr>
    </w:p>
    <w:sectPr w:rsidR="00354104" w:rsidRPr="00505993" w:rsidSect="00902567">
      <w:footerReference w:type="default" r:id="rId8"/>
      <w:headerReference w:type="first" r:id="rId9"/>
      <w:pgSz w:w="11906" w:h="16838" w:code="9"/>
      <w:pgMar w:top="1296" w:right="1296" w:bottom="1296" w:left="1584" w:header="720" w:footer="979" w:gutter="0"/>
      <w:pgNumType w:fmt="numberInDash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BE6" w:rsidRDefault="00BB2BE6">
      <w:pPr>
        <w:spacing w:after="0" w:line="240" w:lineRule="auto"/>
      </w:pPr>
      <w:r>
        <w:separator/>
      </w:r>
    </w:p>
  </w:endnote>
  <w:endnote w:type="continuationSeparator" w:id="0">
    <w:p w:rsidR="00BB2BE6" w:rsidRDefault="00BB2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5041"/>
      <w:docPartObj>
        <w:docPartGallery w:val="Page Numbers (Bottom of Page)"/>
        <w:docPartUnique/>
      </w:docPartObj>
    </w:sdtPr>
    <w:sdtContent>
      <w:p w:rsidR="00193F74" w:rsidRDefault="00193F74">
        <w:pPr>
          <w:pStyle w:val="Footer"/>
          <w:jc w:val="right"/>
        </w:pPr>
        <w:fldSimple w:instr=" PAGE   \* MERGEFORMAT ">
          <w:r w:rsidR="00FC7B39">
            <w:rPr>
              <w:noProof/>
            </w:rPr>
            <w:t>- 1 -</w:t>
          </w:r>
        </w:fldSimple>
      </w:p>
    </w:sdtContent>
  </w:sdt>
  <w:p w:rsidR="00193F74" w:rsidRDefault="00193F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BE6" w:rsidRDefault="00BB2BE6">
      <w:pPr>
        <w:spacing w:after="0" w:line="240" w:lineRule="auto"/>
      </w:pPr>
      <w:r>
        <w:separator/>
      </w:r>
    </w:p>
  </w:footnote>
  <w:footnote w:type="continuationSeparator" w:id="0">
    <w:p w:rsidR="00BB2BE6" w:rsidRDefault="00BB2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F74" w:rsidRDefault="00193F74" w:rsidP="0023066F">
    <w:pPr>
      <w:pStyle w:val="Header"/>
      <w:jc w:val="center"/>
    </w:pPr>
    <w:r>
      <w:rPr>
        <w:noProof/>
        <w:sz w:val="40"/>
        <w:szCs w:val="40"/>
        <w:lang w:eastAsia="en-GB"/>
      </w:rPr>
      <w:drawing>
        <wp:inline distT="0" distB="0" distL="0" distR="0">
          <wp:extent cx="1133475" cy="1123950"/>
          <wp:effectExtent l="19050" t="0" r="9525" b="0"/>
          <wp:docPr id="4" name="Picture 4" descr="common-raven-2811174_1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on-raven-2811174_19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9DC38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BF626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7403A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E567B4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8F653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4061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26EF5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BE1F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BB09D32"/>
    <w:lvl w:ilvl="0">
      <w:start w:val="1"/>
      <w:numFmt w:val="decimal"/>
      <w:pStyle w:val="ListNumber"/>
      <w:lvlText w:val="%1."/>
      <w:lvlJc w:val="left"/>
      <w:pPr>
        <w:ind w:left="288" w:firstLine="288"/>
      </w:pPr>
      <w:rPr>
        <w:rFonts w:hint="default"/>
      </w:rPr>
    </w:lvl>
  </w:abstractNum>
  <w:abstractNum w:abstractNumId="9">
    <w:nsid w:val="FFFFFF89"/>
    <w:multiLevelType w:val="singleLevel"/>
    <w:tmpl w:val="637AA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6A2084"/>
    <w:multiLevelType w:val="hybridMultilevel"/>
    <w:tmpl w:val="F842B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C62DEC"/>
    <w:multiLevelType w:val="hybridMultilevel"/>
    <w:tmpl w:val="F9026A0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A62116"/>
    <w:multiLevelType w:val="hybridMultilevel"/>
    <w:tmpl w:val="2AD22B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B893C70"/>
    <w:multiLevelType w:val="hybridMultilevel"/>
    <w:tmpl w:val="1F488032"/>
    <w:lvl w:ilvl="0" w:tplc="CC14BEFC">
      <w:start w:val="1"/>
      <w:numFmt w:val="bullet"/>
      <w:lvlText w:val=""/>
      <w:lvlJc w:val="left"/>
      <w:pPr>
        <w:tabs>
          <w:tab w:val="num" w:pos="864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375230"/>
    <w:multiLevelType w:val="hybridMultilevel"/>
    <w:tmpl w:val="69601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B70D9E"/>
    <w:multiLevelType w:val="hybridMultilevel"/>
    <w:tmpl w:val="CAE660D6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CCF2C59"/>
    <w:multiLevelType w:val="hybridMultilevel"/>
    <w:tmpl w:val="764234E2"/>
    <w:lvl w:ilvl="0" w:tplc="6316993A">
      <w:start w:val="1"/>
      <w:numFmt w:val="bullet"/>
      <w:lvlText w:val=""/>
      <w:lvlJc w:val="left"/>
      <w:pPr>
        <w:tabs>
          <w:tab w:val="num" w:pos="864"/>
        </w:tabs>
        <w:ind w:left="360" w:firstLine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AC6135"/>
    <w:multiLevelType w:val="hybridMultilevel"/>
    <w:tmpl w:val="5192BB02"/>
    <w:lvl w:ilvl="0" w:tplc="3ACC14D6">
      <w:start w:val="1"/>
      <w:numFmt w:val="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D31A03"/>
    <w:multiLevelType w:val="hybridMultilevel"/>
    <w:tmpl w:val="1A52043A"/>
    <w:lvl w:ilvl="0" w:tplc="0B5062FC">
      <w:start w:val="1"/>
      <w:numFmt w:val="bullet"/>
      <w:lvlText w:val=""/>
      <w:lvlJc w:val="left"/>
      <w:pPr>
        <w:tabs>
          <w:tab w:val="num" w:pos="1152"/>
        </w:tabs>
        <w:ind w:left="288" w:firstLine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950C1D"/>
    <w:multiLevelType w:val="hybridMultilevel"/>
    <w:tmpl w:val="EE220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70D74C4"/>
    <w:multiLevelType w:val="hybridMultilevel"/>
    <w:tmpl w:val="CE5E8F64"/>
    <w:lvl w:ilvl="0" w:tplc="A09E3E28">
      <w:start w:val="1"/>
      <w:numFmt w:val="bullet"/>
      <w:pStyle w:val="List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EA2BAE"/>
    <w:multiLevelType w:val="hybridMultilevel"/>
    <w:tmpl w:val="CBAE4A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BC75088"/>
    <w:multiLevelType w:val="hybridMultilevel"/>
    <w:tmpl w:val="081A2A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3"/>
  </w:num>
  <w:num w:numId="4">
    <w:abstractNumId w:val="18"/>
  </w:num>
  <w:num w:numId="5">
    <w:abstractNumId w:val="8"/>
  </w:num>
  <w:num w:numId="6">
    <w:abstractNumId w:val="17"/>
  </w:num>
  <w:num w:numId="7">
    <w:abstractNumId w:val="20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22"/>
  </w:num>
  <w:num w:numId="18">
    <w:abstractNumId w:val="12"/>
  </w:num>
  <w:num w:numId="19">
    <w:abstractNumId w:val="21"/>
  </w:num>
  <w:num w:numId="20">
    <w:abstractNumId w:val="19"/>
  </w:num>
  <w:num w:numId="21">
    <w:abstractNumId w:val="10"/>
  </w:num>
  <w:num w:numId="22">
    <w:abstractNumId w:val="11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9048F7"/>
    <w:rsid w:val="00013970"/>
    <w:rsid w:val="00013D16"/>
    <w:rsid w:val="00025217"/>
    <w:rsid w:val="0002680B"/>
    <w:rsid w:val="00046A19"/>
    <w:rsid w:val="00046AEA"/>
    <w:rsid w:val="00047CF2"/>
    <w:rsid w:val="00053A59"/>
    <w:rsid w:val="000642DB"/>
    <w:rsid w:val="00067796"/>
    <w:rsid w:val="00074557"/>
    <w:rsid w:val="00075A17"/>
    <w:rsid w:val="00075DE9"/>
    <w:rsid w:val="000807D5"/>
    <w:rsid w:val="00091B32"/>
    <w:rsid w:val="00093157"/>
    <w:rsid w:val="00095B42"/>
    <w:rsid w:val="000A41DE"/>
    <w:rsid w:val="000B2C21"/>
    <w:rsid w:val="000B5CEF"/>
    <w:rsid w:val="000B77A4"/>
    <w:rsid w:val="000B7AA5"/>
    <w:rsid w:val="000D13BF"/>
    <w:rsid w:val="000D1ADE"/>
    <w:rsid w:val="000E2880"/>
    <w:rsid w:val="000F2D5C"/>
    <w:rsid w:val="00114975"/>
    <w:rsid w:val="001211DC"/>
    <w:rsid w:val="00131149"/>
    <w:rsid w:val="00133A4F"/>
    <w:rsid w:val="001358F4"/>
    <w:rsid w:val="00144268"/>
    <w:rsid w:val="001574C3"/>
    <w:rsid w:val="0016094B"/>
    <w:rsid w:val="00160FEA"/>
    <w:rsid w:val="0018258F"/>
    <w:rsid w:val="00193F74"/>
    <w:rsid w:val="00195631"/>
    <w:rsid w:val="001959D6"/>
    <w:rsid w:val="001A6E67"/>
    <w:rsid w:val="001B065B"/>
    <w:rsid w:val="001B6319"/>
    <w:rsid w:val="001C094F"/>
    <w:rsid w:val="001C0DC3"/>
    <w:rsid w:val="001C4732"/>
    <w:rsid w:val="001D0B6B"/>
    <w:rsid w:val="001D4029"/>
    <w:rsid w:val="001E0D7F"/>
    <w:rsid w:val="001E3C95"/>
    <w:rsid w:val="001E646C"/>
    <w:rsid w:val="0023066F"/>
    <w:rsid w:val="00230EC9"/>
    <w:rsid w:val="00231715"/>
    <w:rsid w:val="0024673C"/>
    <w:rsid w:val="00247763"/>
    <w:rsid w:val="002538A0"/>
    <w:rsid w:val="002538F3"/>
    <w:rsid w:val="00262667"/>
    <w:rsid w:val="002679F2"/>
    <w:rsid w:val="00270099"/>
    <w:rsid w:val="00270676"/>
    <w:rsid w:val="002B08B7"/>
    <w:rsid w:val="002D31F8"/>
    <w:rsid w:val="002D33DF"/>
    <w:rsid w:val="002E0809"/>
    <w:rsid w:val="002E2406"/>
    <w:rsid w:val="002E2A57"/>
    <w:rsid w:val="002F12A8"/>
    <w:rsid w:val="002F255F"/>
    <w:rsid w:val="002F38EF"/>
    <w:rsid w:val="003023C1"/>
    <w:rsid w:val="00307869"/>
    <w:rsid w:val="0031044D"/>
    <w:rsid w:val="0031792B"/>
    <w:rsid w:val="003210EB"/>
    <w:rsid w:val="003309AE"/>
    <w:rsid w:val="00342113"/>
    <w:rsid w:val="00343E97"/>
    <w:rsid w:val="00354104"/>
    <w:rsid w:val="00360005"/>
    <w:rsid w:val="00360199"/>
    <w:rsid w:val="00361588"/>
    <w:rsid w:val="00363E91"/>
    <w:rsid w:val="0037302F"/>
    <w:rsid w:val="0037645F"/>
    <w:rsid w:val="00376812"/>
    <w:rsid w:val="003804A9"/>
    <w:rsid w:val="003948F6"/>
    <w:rsid w:val="00395FDA"/>
    <w:rsid w:val="0039770C"/>
    <w:rsid w:val="003A7EA0"/>
    <w:rsid w:val="003C7717"/>
    <w:rsid w:val="003D117B"/>
    <w:rsid w:val="003D5201"/>
    <w:rsid w:val="003F27AD"/>
    <w:rsid w:val="00400AD3"/>
    <w:rsid w:val="00405BFA"/>
    <w:rsid w:val="00410EEF"/>
    <w:rsid w:val="0041632B"/>
    <w:rsid w:val="00417F3C"/>
    <w:rsid w:val="004276F9"/>
    <w:rsid w:val="0043147D"/>
    <w:rsid w:val="0043433F"/>
    <w:rsid w:val="00454435"/>
    <w:rsid w:val="00455119"/>
    <w:rsid w:val="0046071C"/>
    <w:rsid w:val="00463BF1"/>
    <w:rsid w:val="00467BD2"/>
    <w:rsid w:val="0048284A"/>
    <w:rsid w:val="004C4E5E"/>
    <w:rsid w:val="004C4F4C"/>
    <w:rsid w:val="004D2F5D"/>
    <w:rsid w:val="004D64F4"/>
    <w:rsid w:val="004D7A78"/>
    <w:rsid w:val="004F4166"/>
    <w:rsid w:val="004F50AF"/>
    <w:rsid w:val="004F7169"/>
    <w:rsid w:val="005035B3"/>
    <w:rsid w:val="00505993"/>
    <w:rsid w:val="00506967"/>
    <w:rsid w:val="005231BA"/>
    <w:rsid w:val="005234CD"/>
    <w:rsid w:val="00526B80"/>
    <w:rsid w:val="005276BF"/>
    <w:rsid w:val="00530519"/>
    <w:rsid w:val="00533E4A"/>
    <w:rsid w:val="00535D87"/>
    <w:rsid w:val="0054681A"/>
    <w:rsid w:val="00546F38"/>
    <w:rsid w:val="005501AB"/>
    <w:rsid w:val="0055321F"/>
    <w:rsid w:val="00554A80"/>
    <w:rsid w:val="00567B7D"/>
    <w:rsid w:val="00580F19"/>
    <w:rsid w:val="005A3A74"/>
    <w:rsid w:val="005C5245"/>
    <w:rsid w:val="005C54A3"/>
    <w:rsid w:val="005D091C"/>
    <w:rsid w:val="005D0FA7"/>
    <w:rsid w:val="005D5472"/>
    <w:rsid w:val="005E37D5"/>
    <w:rsid w:val="005E431A"/>
    <w:rsid w:val="00614980"/>
    <w:rsid w:val="00615FED"/>
    <w:rsid w:val="00625FD3"/>
    <w:rsid w:val="006312F3"/>
    <w:rsid w:val="00642EF2"/>
    <w:rsid w:val="0064658A"/>
    <w:rsid w:val="00651397"/>
    <w:rsid w:val="00656A6A"/>
    <w:rsid w:val="00660577"/>
    <w:rsid w:val="0066182E"/>
    <w:rsid w:val="00675400"/>
    <w:rsid w:val="006766D2"/>
    <w:rsid w:val="00680EEF"/>
    <w:rsid w:val="00697339"/>
    <w:rsid w:val="006A7124"/>
    <w:rsid w:val="006B289F"/>
    <w:rsid w:val="006B3121"/>
    <w:rsid w:val="006B724F"/>
    <w:rsid w:val="006C6DFD"/>
    <w:rsid w:val="006C6F53"/>
    <w:rsid w:val="006D2BDB"/>
    <w:rsid w:val="006D434F"/>
    <w:rsid w:val="006D4A74"/>
    <w:rsid w:val="006E069B"/>
    <w:rsid w:val="006F1F12"/>
    <w:rsid w:val="006F6F2C"/>
    <w:rsid w:val="0070674D"/>
    <w:rsid w:val="007149ED"/>
    <w:rsid w:val="007376A2"/>
    <w:rsid w:val="007408A5"/>
    <w:rsid w:val="007410DB"/>
    <w:rsid w:val="0074771C"/>
    <w:rsid w:val="00762606"/>
    <w:rsid w:val="00767657"/>
    <w:rsid w:val="00770B03"/>
    <w:rsid w:val="00783D40"/>
    <w:rsid w:val="00785482"/>
    <w:rsid w:val="00794DF7"/>
    <w:rsid w:val="007A143D"/>
    <w:rsid w:val="007C3720"/>
    <w:rsid w:val="007C4FFF"/>
    <w:rsid w:val="007C5AAF"/>
    <w:rsid w:val="007C6352"/>
    <w:rsid w:val="007D0C29"/>
    <w:rsid w:val="007D135C"/>
    <w:rsid w:val="007E01EB"/>
    <w:rsid w:val="007E27A1"/>
    <w:rsid w:val="007F42DF"/>
    <w:rsid w:val="007F55DB"/>
    <w:rsid w:val="008056B2"/>
    <w:rsid w:val="00810A23"/>
    <w:rsid w:val="00812A84"/>
    <w:rsid w:val="00824AFD"/>
    <w:rsid w:val="00825BA1"/>
    <w:rsid w:val="00827964"/>
    <w:rsid w:val="00831112"/>
    <w:rsid w:val="00831F7F"/>
    <w:rsid w:val="008425E4"/>
    <w:rsid w:val="008504FE"/>
    <w:rsid w:val="00853F94"/>
    <w:rsid w:val="0085744B"/>
    <w:rsid w:val="00877CA6"/>
    <w:rsid w:val="00886C65"/>
    <w:rsid w:val="0089169B"/>
    <w:rsid w:val="00892CE0"/>
    <w:rsid w:val="008A3069"/>
    <w:rsid w:val="008A743D"/>
    <w:rsid w:val="008C394E"/>
    <w:rsid w:val="008C4106"/>
    <w:rsid w:val="008C48E0"/>
    <w:rsid w:val="008C5E34"/>
    <w:rsid w:val="008C65CD"/>
    <w:rsid w:val="008D2D81"/>
    <w:rsid w:val="008D5F78"/>
    <w:rsid w:val="008D67FA"/>
    <w:rsid w:val="00901967"/>
    <w:rsid w:val="00902567"/>
    <w:rsid w:val="00903394"/>
    <w:rsid w:val="009048F7"/>
    <w:rsid w:val="00912C36"/>
    <w:rsid w:val="00920AB1"/>
    <w:rsid w:val="00931A29"/>
    <w:rsid w:val="00932A3A"/>
    <w:rsid w:val="00943E6D"/>
    <w:rsid w:val="00945EE5"/>
    <w:rsid w:val="00951A29"/>
    <w:rsid w:val="00960459"/>
    <w:rsid w:val="00980E4B"/>
    <w:rsid w:val="00984D1C"/>
    <w:rsid w:val="00986BAC"/>
    <w:rsid w:val="00987698"/>
    <w:rsid w:val="009909F9"/>
    <w:rsid w:val="00993DF4"/>
    <w:rsid w:val="009A21F9"/>
    <w:rsid w:val="009A414D"/>
    <w:rsid w:val="009B16F5"/>
    <w:rsid w:val="009D161B"/>
    <w:rsid w:val="009D634A"/>
    <w:rsid w:val="009D6F98"/>
    <w:rsid w:val="009E2AD7"/>
    <w:rsid w:val="009E4645"/>
    <w:rsid w:val="009F597E"/>
    <w:rsid w:val="00A00323"/>
    <w:rsid w:val="00A03456"/>
    <w:rsid w:val="00A06D6D"/>
    <w:rsid w:val="00A10679"/>
    <w:rsid w:val="00A14F72"/>
    <w:rsid w:val="00A35AB3"/>
    <w:rsid w:val="00A407A9"/>
    <w:rsid w:val="00A43DE0"/>
    <w:rsid w:val="00A4480F"/>
    <w:rsid w:val="00A52058"/>
    <w:rsid w:val="00A83158"/>
    <w:rsid w:val="00A84116"/>
    <w:rsid w:val="00A96D96"/>
    <w:rsid w:val="00AA082A"/>
    <w:rsid w:val="00AA1630"/>
    <w:rsid w:val="00AA221F"/>
    <w:rsid w:val="00AA655D"/>
    <w:rsid w:val="00AC7CD0"/>
    <w:rsid w:val="00AD12B9"/>
    <w:rsid w:val="00AD3203"/>
    <w:rsid w:val="00AD6CC1"/>
    <w:rsid w:val="00AE5069"/>
    <w:rsid w:val="00AF1071"/>
    <w:rsid w:val="00AF158F"/>
    <w:rsid w:val="00AF1901"/>
    <w:rsid w:val="00B003FE"/>
    <w:rsid w:val="00B01C9A"/>
    <w:rsid w:val="00B020FF"/>
    <w:rsid w:val="00B0525E"/>
    <w:rsid w:val="00B057C6"/>
    <w:rsid w:val="00B10DFA"/>
    <w:rsid w:val="00B17D11"/>
    <w:rsid w:val="00B330CF"/>
    <w:rsid w:val="00B41CC7"/>
    <w:rsid w:val="00B444CF"/>
    <w:rsid w:val="00B4570E"/>
    <w:rsid w:val="00B51AC2"/>
    <w:rsid w:val="00B53BA7"/>
    <w:rsid w:val="00B565B4"/>
    <w:rsid w:val="00B56B8A"/>
    <w:rsid w:val="00B62EA8"/>
    <w:rsid w:val="00B67BD5"/>
    <w:rsid w:val="00B76C86"/>
    <w:rsid w:val="00B82FDE"/>
    <w:rsid w:val="00B83661"/>
    <w:rsid w:val="00B85E50"/>
    <w:rsid w:val="00B95C6A"/>
    <w:rsid w:val="00BA2305"/>
    <w:rsid w:val="00BB2635"/>
    <w:rsid w:val="00BB2BE6"/>
    <w:rsid w:val="00BB4163"/>
    <w:rsid w:val="00BC1A93"/>
    <w:rsid w:val="00BC2746"/>
    <w:rsid w:val="00BC38A1"/>
    <w:rsid w:val="00BC5B86"/>
    <w:rsid w:val="00BD6FCE"/>
    <w:rsid w:val="00BE223E"/>
    <w:rsid w:val="00BE4C07"/>
    <w:rsid w:val="00BF5812"/>
    <w:rsid w:val="00C019E0"/>
    <w:rsid w:val="00C04F61"/>
    <w:rsid w:val="00C05FDB"/>
    <w:rsid w:val="00C16A32"/>
    <w:rsid w:val="00C2266A"/>
    <w:rsid w:val="00C26B4D"/>
    <w:rsid w:val="00C34ADB"/>
    <w:rsid w:val="00C570CF"/>
    <w:rsid w:val="00C63133"/>
    <w:rsid w:val="00C64B13"/>
    <w:rsid w:val="00C71D8C"/>
    <w:rsid w:val="00C723A8"/>
    <w:rsid w:val="00C73AD8"/>
    <w:rsid w:val="00C825B5"/>
    <w:rsid w:val="00CA6259"/>
    <w:rsid w:val="00CB038A"/>
    <w:rsid w:val="00CB2977"/>
    <w:rsid w:val="00CB5E68"/>
    <w:rsid w:val="00CB748C"/>
    <w:rsid w:val="00CC0AE1"/>
    <w:rsid w:val="00CC180C"/>
    <w:rsid w:val="00CC4FA5"/>
    <w:rsid w:val="00CF072B"/>
    <w:rsid w:val="00CF485C"/>
    <w:rsid w:val="00CF48A8"/>
    <w:rsid w:val="00D027AE"/>
    <w:rsid w:val="00D03517"/>
    <w:rsid w:val="00D04B70"/>
    <w:rsid w:val="00D04E20"/>
    <w:rsid w:val="00D10E94"/>
    <w:rsid w:val="00D204B6"/>
    <w:rsid w:val="00D307B6"/>
    <w:rsid w:val="00D309B2"/>
    <w:rsid w:val="00D4409B"/>
    <w:rsid w:val="00D45CDB"/>
    <w:rsid w:val="00D52550"/>
    <w:rsid w:val="00D57178"/>
    <w:rsid w:val="00D66BAA"/>
    <w:rsid w:val="00D72A5E"/>
    <w:rsid w:val="00D74D54"/>
    <w:rsid w:val="00D81509"/>
    <w:rsid w:val="00D84039"/>
    <w:rsid w:val="00D8453B"/>
    <w:rsid w:val="00D8514D"/>
    <w:rsid w:val="00D86657"/>
    <w:rsid w:val="00D91E0C"/>
    <w:rsid w:val="00D94EFB"/>
    <w:rsid w:val="00DA10E3"/>
    <w:rsid w:val="00DA560B"/>
    <w:rsid w:val="00DB30EB"/>
    <w:rsid w:val="00DB3D8B"/>
    <w:rsid w:val="00DB59F0"/>
    <w:rsid w:val="00DC2378"/>
    <w:rsid w:val="00DC72F2"/>
    <w:rsid w:val="00DE16C4"/>
    <w:rsid w:val="00DE2B9A"/>
    <w:rsid w:val="00DE2FBB"/>
    <w:rsid w:val="00DF3AA9"/>
    <w:rsid w:val="00DF4F44"/>
    <w:rsid w:val="00DF69A1"/>
    <w:rsid w:val="00E00C13"/>
    <w:rsid w:val="00E02A7C"/>
    <w:rsid w:val="00E0632D"/>
    <w:rsid w:val="00E07D48"/>
    <w:rsid w:val="00E15662"/>
    <w:rsid w:val="00E16C11"/>
    <w:rsid w:val="00E233ED"/>
    <w:rsid w:val="00E23DAF"/>
    <w:rsid w:val="00E37B20"/>
    <w:rsid w:val="00E45502"/>
    <w:rsid w:val="00E55A7F"/>
    <w:rsid w:val="00E61510"/>
    <w:rsid w:val="00E61D55"/>
    <w:rsid w:val="00E72E06"/>
    <w:rsid w:val="00E779D8"/>
    <w:rsid w:val="00E9025D"/>
    <w:rsid w:val="00E91557"/>
    <w:rsid w:val="00E922E1"/>
    <w:rsid w:val="00E92C59"/>
    <w:rsid w:val="00E93404"/>
    <w:rsid w:val="00E957C3"/>
    <w:rsid w:val="00E96893"/>
    <w:rsid w:val="00E97068"/>
    <w:rsid w:val="00EA5C5B"/>
    <w:rsid w:val="00EA5E35"/>
    <w:rsid w:val="00ED1546"/>
    <w:rsid w:val="00ED1F93"/>
    <w:rsid w:val="00EE35DD"/>
    <w:rsid w:val="00EE383D"/>
    <w:rsid w:val="00EF1158"/>
    <w:rsid w:val="00EF1E8D"/>
    <w:rsid w:val="00F02A38"/>
    <w:rsid w:val="00F043EA"/>
    <w:rsid w:val="00F12073"/>
    <w:rsid w:val="00F1300D"/>
    <w:rsid w:val="00F1509E"/>
    <w:rsid w:val="00F169A7"/>
    <w:rsid w:val="00F24688"/>
    <w:rsid w:val="00F371B3"/>
    <w:rsid w:val="00F47523"/>
    <w:rsid w:val="00F51FD3"/>
    <w:rsid w:val="00F5763D"/>
    <w:rsid w:val="00F6275B"/>
    <w:rsid w:val="00F7518D"/>
    <w:rsid w:val="00F90872"/>
    <w:rsid w:val="00F9511D"/>
    <w:rsid w:val="00FA0740"/>
    <w:rsid w:val="00FA6745"/>
    <w:rsid w:val="00FA7F9A"/>
    <w:rsid w:val="00FB1CC7"/>
    <w:rsid w:val="00FC3FD2"/>
    <w:rsid w:val="00FC7B39"/>
    <w:rsid w:val="00FD4382"/>
    <w:rsid w:val="00FE26EE"/>
    <w:rsid w:val="00FE3DFF"/>
    <w:rsid w:val="00FE50D9"/>
    <w:rsid w:val="00FE56EC"/>
    <w:rsid w:val="00FE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nhideWhenUsed="0" w:qFormat="1"/>
    <w:lsdException w:name="List Number" w:semiHidden="0" w:uiPriority="14" w:unhideWhenUsed="0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Block Text" w:uiPriority="12" w:qFormat="1"/>
    <w:lsdException w:name="Strong" w:uiPriority="22" w:qFormat="1"/>
    <w:lsdException w:name="Emphasis" w:uiPriority="2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CA6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35B3"/>
    <w:pPr>
      <w:keepNext/>
      <w:keepLines/>
      <w:spacing w:before="480" w:after="20"/>
      <w:contextualSpacing/>
      <w:outlineLvl w:val="0"/>
    </w:pPr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485C"/>
    <w:pPr>
      <w:keepNext/>
      <w:keepLines/>
      <w:spacing w:before="420" w:after="20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2"/>
    </w:pPr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4"/>
    </w:pPr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5"/>
    </w:pPr>
    <w:rPr>
      <w:rFonts w:asciiTheme="majorHAnsi" w:eastAsiaTheme="majorEastAsia" w:hAnsiTheme="majorHAnsi" w:cstheme="majorBidi"/>
      <w:color w:val="0D0D0D" w:themeColor="text1" w:themeTint="F2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7"/>
    </w:pPr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485C"/>
    <w:pPr>
      <w:keepNext/>
      <w:keepLines/>
      <w:spacing w:before="420" w:after="20"/>
      <w:contextualSpacing/>
      <w:outlineLvl w:val="8"/>
    </w:pPr>
    <w:rPr>
      <w:rFonts w:asciiTheme="majorHAnsi" w:eastAsiaTheme="majorEastAsia" w:hAnsiTheme="majorHAnsi" w:cstheme="majorBidi"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4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485C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85C"/>
  </w:style>
  <w:style w:type="paragraph" w:styleId="Footer">
    <w:name w:val="footer"/>
    <w:basedOn w:val="Normal"/>
    <w:link w:val="FooterChar"/>
    <w:uiPriority w:val="99"/>
    <w:unhideWhenUsed/>
    <w:rsid w:val="00CF485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85C"/>
  </w:style>
  <w:style w:type="character" w:customStyle="1" w:styleId="Heading1Char">
    <w:name w:val="Heading 1 Char"/>
    <w:basedOn w:val="DefaultParagraphFont"/>
    <w:link w:val="Heading1"/>
    <w:uiPriority w:val="9"/>
    <w:rsid w:val="005035B3"/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485C"/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ListBullet">
    <w:name w:val="List Bullet"/>
    <w:basedOn w:val="Normal"/>
    <w:uiPriority w:val="13"/>
    <w:qFormat/>
    <w:rsid w:val="00CF485C"/>
    <w:pPr>
      <w:numPr>
        <w:numId w:val="7"/>
      </w:numPr>
      <w:ind w:left="864" w:hanging="288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77CA6"/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485C"/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485C"/>
    <w:rPr>
      <w:rFonts w:asciiTheme="majorHAnsi" w:eastAsiaTheme="majorEastAsia" w:hAnsiTheme="majorHAnsi" w:cstheme="majorBidi"/>
      <w:color w:val="0D0D0D" w:themeColor="text1" w:themeTint="F2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485C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485C"/>
    <w:rPr>
      <w:rFonts w:asciiTheme="majorHAnsi" w:eastAsiaTheme="majorEastAsia" w:hAnsiTheme="majorHAnsi" w:cstheme="majorBidi"/>
      <w:iCs/>
      <w:color w:val="000000" w:themeColor="text1"/>
      <w:sz w:val="22"/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CF485C"/>
    <w:rPr>
      <w:b/>
      <w:bCs/>
      <w:color w:val="595959" w:themeColor="text1" w:themeTint="A6"/>
    </w:rPr>
  </w:style>
  <w:style w:type="paragraph" w:styleId="Title">
    <w:name w:val="Title"/>
    <w:basedOn w:val="Normal"/>
    <w:link w:val="TitleChar"/>
    <w:uiPriority w:val="3"/>
    <w:qFormat/>
    <w:rsid w:val="00CF485C"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B020FF"/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7CA6"/>
    <w:pPr>
      <w:spacing w:before="240"/>
      <w:outlineLvl w:val="9"/>
    </w:pPr>
  </w:style>
  <w:style w:type="paragraph" w:styleId="NoSpacing">
    <w:name w:val="No Spacing"/>
    <w:uiPriority w:val="2"/>
    <w:qFormat/>
    <w:rsid w:val="00CF485C"/>
    <w:pPr>
      <w:spacing w:after="0" w:line="240" w:lineRule="auto"/>
    </w:pPr>
  </w:style>
  <w:style w:type="paragraph" w:styleId="BlockText">
    <w:name w:val="Block Text"/>
    <w:basedOn w:val="Normal"/>
    <w:uiPriority w:val="12"/>
    <w:qFormat/>
    <w:rsid w:val="00CF485C"/>
    <w:pPr>
      <w:spacing w:before="60" w:after="0" w:line="250" w:lineRule="auto"/>
      <w:contextualSpacing/>
    </w:pPr>
    <w:rPr>
      <w:rFonts w:eastAsiaTheme="minorEastAsia"/>
      <w:b/>
      <w:iCs/>
    </w:rPr>
  </w:style>
  <w:style w:type="paragraph" w:styleId="ListNumber">
    <w:name w:val="List Number"/>
    <w:basedOn w:val="Normal"/>
    <w:uiPriority w:val="14"/>
    <w:qFormat/>
    <w:rsid w:val="00CF485C"/>
    <w:pPr>
      <w:numPr>
        <w:numId w:val="5"/>
      </w:numPr>
      <w:ind w:left="864" w:hanging="288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B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35B3"/>
  </w:style>
  <w:style w:type="paragraph" w:styleId="BodyText">
    <w:name w:val="Body Text"/>
    <w:basedOn w:val="Normal"/>
    <w:link w:val="BodyTextChar"/>
    <w:uiPriority w:val="99"/>
    <w:semiHidden/>
    <w:unhideWhenUsed/>
    <w:rsid w:val="005035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035B3"/>
  </w:style>
  <w:style w:type="paragraph" w:styleId="BodyText2">
    <w:name w:val="Body Text 2"/>
    <w:basedOn w:val="Normal"/>
    <w:link w:val="BodyText2Char"/>
    <w:uiPriority w:val="99"/>
    <w:semiHidden/>
    <w:unhideWhenUsed/>
    <w:rsid w:val="005035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35B3"/>
  </w:style>
  <w:style w:type="paragraph" w:styleId="BodyText3">
    <w:name w:val="Body Text 3"/>
    <w:basedOn w:val="Normal"/>
    <w:link w:val="BodyText3Char"/>
    <w:uiPriority w:val="99"/>
    <w:semiHidden/>
    <w:unhideWhenUsed/>
    <w:rsid w:val="005035B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35B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35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35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35B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35B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35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35B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35B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35B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035B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35B3"/>
    <w:pPr>
      <w:spacing w:after="200" w:line="240" w:lineRule="auto"/>
    </w:pPr>
    <w:rPr>
      <w:i/>
      <w:iCs/>
      <w:color w:val="21272F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35B3"/>
  </w:style>
  <w:style w:type="table" w:styleId="ColorfulGrid">
    <w:name w:val="Colorful Grid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F0EB" w:themeFill="accent1" w:themeFillTint="33"/>
    </w:tcPr>
    <w:tblStylePr w:type="firstRow">
      <w:rPr>
        <w:b/>
        <w:bCs/>
      </w:rPr>
      <w:tblPr/>
      <w:tcPr>
        <w:shd w:val="clear" w:color="auto" w:fill="96E1D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6E1D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FD9" w:themeFill="accent2" w:themeFillTint="33"/>
    </w:tcPr>
    <w:tblStylePr w:type="firstRow">
      <w:rPr>
        <w:b/>
        <w:bCs/>
      </w:rPr>
      <w:tblPr/>
      <w:tcPr>
        <w:shd w:val="clear" w:color="auto" w:fill="C9DF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F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EDB" w:themeFill="accent3" w:themeFillTint="33"/>
    </w:tcPr>
    <w:tblStylePr w:type="firstRow">
      <w:rPr>
        <w:b/>
        <w:bCs/>
      </w:rPr>
      <w:tblPr/>
      <w:tcPr>
        <w:shd w:val="clear" w:color="auto" w:fill="E59D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D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4D4" w:themeFill="accent4" w:themeFillTint="33"/>
    </w:tcPr>
    <w:tblStylePr w:type="firstRow">
      <w:rPr>
        <w:b/>
        <w:bCs/>
      </w:rPr>
      <w:tblPr/>
      <w:tcPr>
        <w:shd w:val="clear" w:color="auto" w:fill="ECAA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AA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CD8" w:themeFill="accent5" w:themeFillTint="33"/>
    </w:tcPr>
    <w:tblStylePr w:type="firstRow">
      <w:rPr>
        <w:b/>
        <w:bCs/>
      </w:rPr>
      <w:tblPr/>
      <w:tcPr>
        <w:shd w:val="clear" w:color="auto" w:fill="F4D9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9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0D2" w:themeFill="accent6" w:themeFillTint="33"/>
    </w:tcPr>
    <w:tblStylePr w:type="firstRow">
      <w:rPr>
        <w:b/>
        <w:bCs/>
      </w:rPr>
      <w:tblPr/>
      <w:tcPr>
        <w:shd w:val="clear" w:color="auto" w:fill="F5C1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1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7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424" w:themeFill="accent4" w:themeFillShade="CC"/>
      </w:tcPr>
    </w:tblStylePr>
    <w:tblStylePr w:type="lastRow">
      <w:rPr>
        <w:b/>
        <w:bCs/>
        <w:color w:val="A624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2144" w:themeFill="accent3" w:themeFillShade="CC"/>
      </w:tcPr>
    </w:tblStylePr>
    <w:tblStylePr w:type="lastRow">
      <w:rPr>
        <w:b/>
        <w:bCs/>
        <w:color w:val="7E214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5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4F14" w:themeFill="accent6" w:themeFillShade="CC"/>
      </w:tcPr>
    </w:tblStylePr>
    <w:tblStylePr w:type="lastRow">
      <w:rPr>
        <w:b/>
        <w:bCs/>
        <w:color w:val="BB4F1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851B" w:themeFill="accent5" w:themeFillShade="CC"/>
      </w:tcPr>
    </w:tblStylePr>
    <w:tblStylePr w:type="lastRow">
      <w:rPr>
        <w:b/>
        <w:bCs/>
        <w:color w:val="CD85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7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51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514A" w:themeColor="accent1" w:themeShade="99"/>
          <w:insideV w:val="nil"/>
        </w:tcBorders>
        <w:shd w:val="clear" w:color="auto" w:fill="1751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514A" w:themeFill="accent1" w:themeFillShade="99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7DDAC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5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52B" w:themeColor="accent2" w:themeShade="99"/>
          <w:insideV w:val="nil"/>
        </w:tcBorders>
        <w:shd w:val="clear" w:color="auto" w:fill="4865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52B" w:themeFill="accent2" w:themeFillShade="99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BCD7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02E2E" w:themeColor="accent4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193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1933" w:themeColor="accent3" w:themeShade="99"/>
          <w:insideV w:val="nil"/>
        </w:tcBorders>
        <w:shd w:val="clear" w:color="auto" w:fill="5E193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1933" w:themeFill="accent3" w:themeFillShade="99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E2A56" w:themeColor="accent3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B1B" w:themeColor="accent4" w:themeShade="99"/>
          <w:insideV w:val="nil"/>
        </w:tcBorders>
        <w:shd w:val="clear" w:color="auto" w:fill="7C1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B1B" w:themeFill="accent4" w:themeFillShade="99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896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6651E" w:themeColor="accent6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5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64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6415" w:themeColor="accent5" w:themeShade="99"/>
          <w:insideV w:val="nil"/>
        </w:tcBorders>
        <w:shd w:val="clear" w:color="auto" w:fill="9A64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415" w:themeFill="accent5" w:themeFillShade="99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2D0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5A23F" w:themeColor="accent5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B0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B0F" w:themeColor="accent6" w:themeShade="99"/>
          <w:insideV w:val="nil"/>
        </w:tcBorders>
        <w:shd w:val="clear" w:color="auto" w:fill="8C3B0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B0F" w:themeFill="accent6" w:themeFillShade="99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2B18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35B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5B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5B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5B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3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665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F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52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F4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71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2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3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7D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1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A1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</w:style>
  <w:style w:type="paragraph" w:styleId="Date">
    <w:name w:val="Date"/>
    <w:basedOn w:val="Normal"/>
    <w:link w:val="DateChar"/>
    <w:uiPriority w:val="1"/>
    <w:unhideWhenUsed/>
    <w:qFormat/>
    <w:rsid w:val="00877CA6"/>
    <w:pPr>
      <w:spacing w:before="120" w:after="120"/>
      <w:contextualSpacing/>
    </w:pPr>
    <w:rPr>
      <w:color w:val="1D665D" w:themeColor="accent1" w:themeShade="BF"/>
      <w:sz w:val="24"/>
    </w:rPr>
  </w:style>
  <w:style w:type="character" w:customStyle="1" w:styleId="DateChar">
    <w:name w:val="Date Char"/>
    <w:basedOn w:val="DefaultParagraphFont"/>
    <w:link w:val="Date"/>
    <w:uiPriority w:val="1"/>
    <w:rsid w:val="00877CA6"/>
    <w:rPr>
      <w:color w:val="1D665D" w:themeColor="accent1" w:themeShade="BF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35B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35B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35B3"/>
  </w:style>
  <w:style w:type="character" w:styleId="Emphasis">
    <w:name w:val="Emphasis"/>
    <w:basedOn w:val="DefaultParagraphFont"/>
    <w:uiPriority w:val="20"/>
    <w:semiHidden/>
    <w:unhideWhenUsed/>
    <w:qFormat/>
    <w:rsid w:val="005035B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35B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35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7CA6"/>
    <w:rPr>
      <w:color w:val="681717" w:themeColor="accent4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35B3"/>
    <w:rPr>
      <w:szCs w:val="20"/>
    </w:rPr>
  </w:style>
  <w:style w:type="table" w:customStyle="1" w:styleId="GridTable1Light">
    <w:name w:val="Grid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6E1D8" w:themeColor="accent1" w:themeTint="66"/>
        <w:left w:val="single" w:sz="4" w:space="0" w:color="96E1D8" w:themeColor="accent1" w:themeTint="66"/>
        <w:bottom w:val="single" w:sz="4" w:space="0" w:color="96E1D8" w:themeColor="accent1" w:themeTint="66"/>
        <w:right w:val="single" w:sz="4" w:space="0" w:color="96E1D8" w:themeColor="accent1" w:themeTint="66"/>
        <w:insideH w:val="single" w:sz="4" w:space="0" w:color="96E1D8" w:themeColor="accent1" w:themeTint="66"/>
        <w:insideV w:val="single" w:sz="4" w:space="0" w:color="96E1D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DFB3" w:themeColor="accent2" w:themeTint="66"/>
        <w:left w:val="single" w:sz="4" w:space="0" w:color="C9DFB3" w:themeColor="accent2" w:themeTint="66"/>
        <w:bottom w:val="single" w:sz="4" w:space="0" w:color="C9DFB3" w:themeColor="accent2" w:themeTint="66"/>
        <w:right w:val="single" w:sz="4" w:space="0" w:color="C9DFB3" w:themeColor="accent2" w:themeTint="66"/>
        <w:insideH w:val="single" w:sz="4" w:space="0" w:color="C9DFB3" w:themeColor="accent2" w:themeTint="66"/>
        <w:insideV w:val="single" w:sz="4" w:space="0" w:color="C9DFB3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9DB8" w:themeColor="accent3" w:themeTint="66"/>
        <w:left w:val="single" w:sz="4" w:space="0" w:color="E59DB8" w:themeColor="accent3" w:themeTint="66"/>
        <w:bottom w:val="single" w:sz="4" w:space="0" w:color="E59DB8" w:themeColor="accent3" w:themeTint="66"/>
        <w:right w:val="single" w:sz="4" w:space="0" w:color="E59DB8" w:themeColor="accent3" w:themeTint="66"/>
        <w:insideH w:val="single" w:sz="4" w:space="0" w:color="E59DB8" w:themeColor="accent3" w:themeTint="66"/>
        <w:insideV w:val="single" w:sz="4" w:space="0" w:color="E59DB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AAAA" w:themeColor="accent4" w:themeTint="66"/>
        <w:left w:val="single" w:sz="4" w:space="0" w:color="ECAAAA" w:themeColor="accent4" w:themeTint="66"/>
        <w:bottom w:val="single" w:sz="4" w:space="0" w:color="ECAAAA" w:themeColor="accent4" w:themeTint="66"/>
        <w:right w:val="single" w:sz="4" w:space="0" w:color="ECAAAA" w:themeColor="accent4" w:themeTint="66"/>
        <w:insideH w:val="single" w:sz="4" w:space="0" w:color="ECAAAA" w:themeColor="accent4" w:themeTint="66"/>
        <w:insideV w:val="single" w:sz="4" w:space="0" w:color="ECAAAA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9B2" w:themeColor="accent5" w:themeTint="66"/>
        <w:left w:val="single" w:sz="4" w:space="0" w:color="F4D9B2" w:themeColor="accent5" w:themeTint="66"/>
        <w:bottom w:val="single" w:sz="4" w:space="0" w:color="F4D9B2" w:themeColor="accent5" w:themeTint="66"/>
        <w:right w:val="single" w:sz="4" w:space="0" w:color="F4D9B2" w:themeColor="accent5" w:themeTint="66"/>
        <w:insideH w:val="single" w:sz="4" w:space="0" w:color="F4D9B2" w:themeColor="accent5" w:themeTint="66"/>
        <w:insideV w:val="single" w:sz="4" w:space="0" w:color="F4D9B2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1A5" w:themeColor="accent6" w:themeTint="66"/>
        <w:left w:val="single" w:sz="4" w:space="0" w:color="F5C1A5" w:themeColor="accent6" w:themeTint="66"/>
        <w:bottom w:val="single" w:sz="4" w:space="0" w:color="F5C1A5" w:themeColor="accent6" w:themeTint="66"/>
        <w:right w:val="single" w:sz="4" w:space="0" w:color="F5C1A5" w:themeColor="accent6" w:themeTint="66"/>
        <w:insideH w:val="single" w:sz="4" w:space="0" w:color="F5C1A5" w:themeColor="accent6" w:themeTint="66"/>
        <w:insideV w:val="single" w:sz="4" w:space="0" w:color="F5C1A5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2D2C4" w:themeColor="accent1" w:themeTint="99"/>
        <w:bottom w:val="single" w:sz="2" w:space="0" w:color="62D2C4" w:themeColor="accent1" w:themeTint="99"/>
        <w:insideH w:val="single" w:sz="2" w:space="0" w:color="62D2C4" w:themeColor="accent1" w:themeTint="99"/>
        <w:insideV w:val="single" w:sz="2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2D2C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ECF8D" w:themeColor="accent2" w:themeTint="99"/>
        <w:bottom w:val="single" w:sz="2" w:space="0" w:color="AECF8D" w:themeColor="accent2" w:themeTint="99"/>
        <w:insideH w:val="single" w:sz="2" w:space="0" w:color="AECF8D" w:themeColor="accent2" w:themeTint="99"/>
        <w:insideV w:val="single" w:sz="2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CF8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6C94" w:themeColor="accent3" w:themeTint="99"/>
        <w:bottom w:val="single" w:sz="2" w:space="0" w:color="D86C94" w:themeColor="accent3" w:themeTint="99"/>
        <w:insideH w:val="single" w:sz="2" w:space="0" w:color="D86C94" w:themeColor="accent3" w:themeTint="99"/>
        <w:insideV w:val="single" w:sz="2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6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38181" w:themeColor="accent4" w:themeTint="99"/>
        <w:bottom w:val="single" w:sz="2" w:space="0" w:color="E38181" w:themeColor="accent4" w:themeTint="99"/>
        <w:insideH w:val="single" w:sz="2" w:space="0" w:color="E38181" w:themeColor="accent4" w:themeTint="99"/>
        <w:insideV w:val="single" w:sz="2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381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FC78B" w:themeColor="accent5" w:themeTint="99"/>
        <w:bottom w:val="single" w:sz="2" w:space="0" w:color="EFC78B" w:themeColor="accent5" w:themeTint="99"/>
        <w:insideH w:val="single" w:sz="2" w:space="0" w:color="EFC78B" w:themeColor="accent5" w:themeTint="99"/>
        <w:insideV w:val="single" w:sz="2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FC7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0A278" w:themeColor="accent6" w:themeTint="99"/>
        <w:bottom w:val="single" w:sz="2" w:space="0" w:color="F0A278" w:themeColor="accent6" w:themeTint="99"/>
        <w:insideH w:val="single" w:sz="2" w:space="0" w:color="F0A278" w:themeColor="accent6" w:themeTint="99"/>
        <w:insideV w:val="single" w:sz="2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0A2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F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96E1D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F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C9DFB3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E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E59DB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4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CAAAA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C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4D9B2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0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5C1A5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035B3"/>
  </w:style>
  <w:style w:type="paragraph" w:styleId="HTMLAddress">
    <w:name w:val="HTML Address"/>
    <w:basedOn w:val="Normal"/>
    <w:link w:val="HTMLAddressChar"/>
    <w:uiPriority w:val="99"/>
    <w:semiHidden/>
    <w:unhideWhenUsed/>
    <w:rsid w:val="005035B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35B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035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35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5B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035B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35B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77CA6"/>
    <w:rPr>
      <w:color w:val="1D665D" w:themeColor="accent1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35B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77CA6"/>
    <w:rPr>
      <w:i/>
      <w:iCs/>
      <w:color w:val="1D665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77CA6"/>
    <w:pPr>
      <w:pBdr>
        <w:top w:val="single" w:sz="4" w:space="10" w:color="1D665D" w:themeColor="accent1" w:themeShade="BF"/>
        <w:bottom w:val="single" w:sz="4" w:space="10" w:color="1D665D" w:themeColor="accent1" w:themeShade="BF"/>
      </w:pBdr>
      <w:spacing w:before="360" w:after="360"/>
      <w:ind w:left="864" w:right="864"/>
      <w:jc w:val="center"/>
    </w:pPr>
    <w:rPr>
      <w:i/>
      <w:iCs/>
      <w:color w:val="1D665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77CA6"/>
    <w:rPr>
      <w:i/>
      <w:iCs/>
      <w:color w:val="1D665D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77CA6"/>
    <w:rPr>
      <w:b/>
      <w:bCs/>
      <w:caps w:val="0"/>
      <w:smallCaps/>
      <w:color w:val="1D665D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1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  <w:shd w:val="clear" w:color="auto" w:fill="BEECE6" w:themeFill="accent1" w:themeFillTint="3F"/>
      </w:tcPr>
    </w:tblStylePr>
    <w:tblStylePr w:type="band2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1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  <w:shd w:val="clear" w:color="auto" w:fill="DDEBD0" w:themeFill="accent2" w:themeFillTint="3F"/>
      </w:tcPr>
    </w:tblStylePr>
    <w:tblStylePr w:type="band2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1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  <w:shd w:val="clear" w:color="auto" w:fill="EFC2D3" w:themeFill="accent3" w:themeFillTint="3F"/>
      </w:tcPr>
    </w:tblStylePr>
    <w:tblStylePr w:type="band2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1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  <w:shd w:val="clear" w:color="auto" w:fill="F3CBCB" w:themeFill="accent4" w:themeFillTint="3F"/>
      </w:tcPr>
    </w:tblStylePr>
    <w:tblStylePr w:type="band2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1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  <w:shd w:val="clear" w:color="auto" w:fill="F8E7CF" w:themeFill="accent5" w:themeFillTint="3F"/>
      </w:tcPr>
    </w:tblStylePr>
    <w:tblStylePr w:type="band2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1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  <w:shd w:val="clear" w:color="auto" w:fill="F8D8C7" w:themeFill="accent6" w:themeFillTint="3F"/>
      </w:tcPr>
    </w:tblStylePr>
    <w:tblStylePr w:type="band2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35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8" w:space="0" w:color="27897D" w:themeColor="accent1"/>
        <w:bottom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8" w:space="0" w:color="79AA48" w:themeColor="accent2"/>
        <w:bottom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8" w:space="0" w:color="9E2A56" w:themeColor="accent3"/>
        <w:bottom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8" w:space="0" w:color="D02E2E" w:themeColor="accent4"/>
        <w:bottom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8" w:space="0" w:color="E5A23F" w:themeColor="accent5"/>
        <w:bottom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8" w:space="0" w:color="E6651E" w:themeColor="accent6"/>
        <w:bottom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35B3"/>
  </w:style>
  <w:style w:type="paragraph" w:styleId="List">
    <w:name w:val="List"/>
    <w:basedOn w:val="Normal"/>
    <w:uiPriority w:val="99"/>
    <w:semiHidden/>
    <w:unhideWhenUsed/>
    <w:rsid w:val="005035B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35B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35B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35B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35B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5035B3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35B3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35B3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35B3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35B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35B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35B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35B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35B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5035B3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35B3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35B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35B3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035B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bottom w:val="single" w:sz="4" w:space="0" w:color="62D2C4" w:themeColor="accent1" w:themeTint="99"/>
        <w:insideH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bottom w:val="single" w:sz="4" w:space="0" w:color="AECF8D" w:themeColor="accent2" w:themeTint="99"/>
        <w:insideH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bottom w:val="single" w:sz="4" w:space="0" w:color="D86C94" w:themeColor="accent3" w:themeTint="99"/>
        <w:insideH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bottom w:val="single" w:sz="4" w:space="0" w:color="E38181" w:themeColor="accent4" w:themeTint="99"/>
        <w:insideH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bottom w:val="single" w:sz="4" w:space="0" w:color="EFC78B" w:themeColor="accent5" w:themeTint="99"/>
        <w:insideH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bottom w:val="single" w:sz="4" w:space="0" w:color="F0A278" w:themeColor="accent6" w:themeTint="99"/>
        <w:insideH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897D" w:themeColor="accent1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897D" w:themeColor="accent1"/>
          <w:right w:val="single" w:sz="4" w:space="0" w:color="27897D" w:themeColor="accent1"/>
        </w:tcBorders>
      </w:tcPr>
    </w:tblStylePr>
    <w:tblStylePr w:type="band1Horz">
      <w:tblPr/>
      <w:tcPr>
        <w:tcBorders>
          <w:top w:val="single" w:sz="4" w:space="0" w:color="27897D" w:themeColor="accent1"/>
          <w:bottom w:val="single" w:sz="4" w:space="0" w:color="27897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897D" w:themeColor="accent1"/>
          <w:left w:val="nil"/>
        </w:tcBorders>
      </w:tcPr>
    </w:tblStylePr>
    <w:tblStylePr w:type="swCell">
      <w:tblPr/>
      <w:tcPr>
        <w:tcBorders>
          <w:top w:val="double" w:sz="4" w:space="0" w:color="27897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A48" w:themeColor="accent2"/>
          <w:right w:val="single" w:sz="4" w:space="0" w:color="79AA48" w:themeColor="accent2"/>
        </w:tcBorders>
      </w:tcPr>
    </w:tblStylePr>
    <w:tblStylePr w:type="band1Horz">
      <w:tblPr/>
      <w:tcPr>
        <w:tcBorders>
          <w:top w:val="single" w:sz="4" w:space="0" w:color="79AA48" w:themeColor="accent2"/>
          <w:bottom w:val="single" w:sz="4" w:space="0" w:color="79AA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A48" w:themeColor="accent2"/>
          <w:left w:val="nil"/>
        </w:tcBorders>
      </w:tcPr>
    </w:tblStylePr>
    <w:tblStylePr w:type="swCell">
      <w:tblPr/>
      <w:tcPr>
        <w:tcBorders>
          <w:top w:val="double" w:sz="4" w:space="0" w:color="79AA48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E2A56" w:themeColor="accent3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2A56" w:themeColor="accent3"/>
          <w:right w:val="single" w:sz="4" w:space="0" w:color="9E2A56" w:themeColor="accent3"/>
        </w:tcBorders>
      </w:tcPr>
    </w:tblStylePr>
    <w:tblStylePr w:type="band1Horz">
      <w:tblPr/>
      <w:tcPr>
        <w:tcBorders>
          <w:top w:val="single" w:sz="4" w:space="0" w:color="9E2A56" w:themeColor="accent3"/>
          <w:bottom w:val="single" w:sz="4" w:space="0" w:color="9E2A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2A56" w:themeColor="accent3"/>
          <w:left w:val="nil"/>
        </w:tcBorders>
      </w:tcPr>
    </w:tblStylePr>
    <w:tblStylePr w:type="swCell">
      <w:tblPr/>
      <w:tcPr>
        <w:tcBorders>
          <w:top w:val="double" w:sz="4" w:space="0" w:color="9E2A56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2E2E" w:themeColor="accent4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E2E" w:themeColor="accent4"/>
          <w:right w:val="single" w:sz="4" w:space="0" w:color="D02E2E" w:themeColor="accent4"/>
        </w:tcBorders>
      </w:tcPr>
    </w:tblStylePr>
    <w:tblStylePr w:type="band1Horz">
      <w:tblPr/>
      <w:tcPr>
        <w:tcBorders>
          <w:top w:val="single" w:sz="4" w:space="0" w:color="D02E2E" w:themeColor="accent4"/>
          <w:bottom w:val="single" w:sz="4" w:space="0" w:color="D02E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E2E" w:themeColor="accent4"/>
          <w:left w:val="nil"/>
        </w:tcBorders>
      </w:tcPr>
    </w:tblStylePr>
    <w:tblStylePr w:type="swCell">
      <w:tblPr/>
      <w:tcPr>
        <w:tcBorders>
          <w:top w:val="double" w:sz="4" w:space="0" w:color="D02E2E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23F" w:themeColor="accent5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A23F" w:themeColor="accent5"/>
          <w:right w:val="single" w:sz="4" w:space="0" w:color="E5A23F" w:themeColor="accent5"/>
        </w:tcBorders>
      </w:tcPr>
    </w:tblStylePr>
    <w:tblStylePr w:type="band1Horz">
      <w:tblPr/>
      <w:tcPr>
        <w:tcBorders>
          <w:top w:val="single" w:sz="4" w:space="0" w:color="E5A23F" w:themeColor="accent5"/>
          <w:bottom w:val="single" w:sz="4" w:space="0" w:color="E5A2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A23F" w:themeColor="accent5"/>
          <w:left w:val="nil"/>
        </w:tcBorders>
      </w:tcPr>
    </w:tblStylePr>
    <w:tblStylePr w:type="swCell">
      <w:tblPr/>
      <w:tcPr>
        <w:tcBorders>
          <w:top w:val="double" w:sz="4" w:space="0" w:color="E5A23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6651E" w:themeColor="accent6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51E" w:themeColor="accent6"/>
          <w:right w:val="single" w:sz="4" w:space="0" w:color="E6651E" w:themeColor="accent6"/>
        </w:tcBorders>
      </w:tcPr>
    </w:tblStylePr>
    <w:tblStylePr w:type="band1Horz">
      <w:tblPr/>
      <w:tcPr>
        <w:tcBorders>
          <w:top w:val="single" w:sz="4" w:space="0" w:color="E6651E" w:themeColor="accent6"/>
          <w:bottom w:val="single" w:sz="4" w:space="0" w:color="E6651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51E" w:themeColor="accent6"/>
          <w:left w:val="nil"/>
        </w:tcBorders>
      </w:tcPr>
    </w:tblStylePr>
    <w:tblStylePr w:type="swCell">
      <w:tblPr/>
      <w:tcPr>
        <w:tcBorders>
          <w:top w:val="double" w:sz="4" w:space="0" w:color="E6651E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7897D" w:themeColor="accent1"/>
        <w:left w:val="single" w:sz="24" w:space="0" w:color="27897D" w:themeColor="accent1"/>
        <w:bottom w:val="single" w:sz="24" w:space="0" w:color="27897D" w:themeColor="accent1"/>
        <w:right w:val="single" w:sz="2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9AA48" w:themeColor="accent2"/>
        <w:left w:val="single" w:sz="24" w:space="0" w:color="79AA48" w:themeColor="accent2"/>
        <w:bottom w:val="single" w:sz="24" w:space="0" w:color="79AA48" w:themeColor="accent2"/>
        <w:right w:val="single" w:sz="2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E2A56" w:themeColor="accent3"/>
        <w:left w:val="single" w:sz="24" w:space="0" w:color="9E2A56" w:themeColor="accent3"/>
        <w:bottom w:val="single" w:sz="24" w:space="0" w:color="9E2A56" w:themeColor="accent3"/>
        <w:right w:val="single" w:sz="2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02E2E" w:themeColor="accent4"/>
        <w:left w:val="single" w:sz="24" w:space="0" w:color="D02E2E" w:themeColor="accent4"/>
        <w:bottom w:val="single" w:sz="24" w:space="0" w:color="D02E2E" w:themeColor="accent4"/>
        <w:right w:val="single" w:sz="2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5A23F" w:themeColor="accent5"/>
        <w:left w:val="single" w:sz="24" w:space="0" w:color="E5A23F" w:themeColor="accent5"/>
        <w:bottom w:val="single" w:sz="24" w:space="0" w:color="E5A23F" w:themeColor="accent5"/>
        <w:right w:val="single" w:sz="2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6651E" w:themeColor="accent6"/>
        <w:left w:val="single" w:sz="24" w:space="0" w:color="E6651E" w:themeColor="accent6"/>
        <w:bottom w:val="single" w:sz="24" w:space="0" w:color="E6651E" w:themeColor="accent6"/>
        <w:right w:val="single" w:sz="2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Borders>
        <w:top w:val="single" w:sz="4" w:space="0" w:color="27897D" w:themeColor="accent1"/>
        <w:bottom w:val="single" w:sz="4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897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Borders>
        <w:top w:val="single" w:sz="4" w:space="0" w:color="79AA48" w:themeColor="accent2"/>
        <w:bottom w:val="single" w:sz="4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9AA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Borders>
        <w:top w:val="single" w:sz="4" w:space="0" w:color="9E2A56" w:themeColor="accent3"/>
        <w:bottom w:val="single" w:sz="4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E2A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Borders>
        <w:top w:val="single" w:sz="4" w:space="0" w:color="D02E2E" w:themeColor="accent4"/>
        <w:bottom w:val="single" w:sz="4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2E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Borders>
        <w:top w:val="single" w:sz="4" w:space="0" w:color="E5A23F" w:themeColor="accent5"/>
        <w:bottom w:val="single" w:sz="4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5A2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Borders>
        <w:top w:val="single" w:sz="4" w:space="0" w:color="E6651E" w:themeColor="accent6"/>
        <w:bottom w:val="single" w:sz="4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6651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897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897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897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897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A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A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A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A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2A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2A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2A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2A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E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E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E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E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A2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A2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A2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A2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51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51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51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51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035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35B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  <w:insideV w:val="single" w:sz="8" w:space="0" w:color="3CC7B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7B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  <w:insideV w:val="single" w:sz="8" w:space="0" w:color="9AC37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C37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  <w:insideV w:val="single" w:sz="8" w:space="0" w:color="CE477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  <w:insideV w:val="single" w:sz="8" w:space="0" w:color="DC616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616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  <w:insideV w:val="single" w:sz="8" w:space="0" w:color="EBB96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96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  <w:insideV w:val="single" w:sz="8" w:space="0" w:color="EC8B5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8B5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5F7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0EB" w:themeFill="accent1" w:themeFillTint="33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tcBorders>
          <w:insideH w:val="single" w:sz="6" w:space="0" w:color="27897D" w:themeColor="accent1"/>
          <w:insideV w:val="single" w:sz="6" w:space="0" w:color="27897D" w:themeColor="accent1"/>
        </w:tcBorders>
        <w:shd w:val="clear" w:color="auto" w:fill="7DDAC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FD9" w:themeFill="accent2" w:themeFillTint="33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tcBorders>
          <w:insideH w:val="single" w:sz="6" w:space="0" w:color="79AA48" w:themeColor="accent2"/>
          <w:insideV w:val="single" w:sz="6" w:space="0" w:color="79AA48" w:themeColor="accent2"/>
        </w:tcBorders>
        <w:shd w:val="clear" w:color="auto" w:fill="BCD7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DB" w:themeFill="accent3" w:themeFillTint="33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tcBorders>
          <w:insideH w:val="single" w:sz="6" w:space="0" w:color="9E2A56" w:themeColor="accent3"/>
          <w:insideV w:val="single" w:sz="6" w:space="0" w:color="9E2A56" w:themeColor="accent3"/>
        </w:tcBorders>
        <w:shd w:val="clear" w:color="auto" w:fill="DE84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D4" w:themeFill="accent4" w:themeFillTint="33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tcBorders>
          <w:insideH w:val="single" w:sz="6" w:space="0" w:color="D02E2E" w:themeColor="accent4"/>
          <w:insideV w:val="single" w:sz="6" w:space="0" w:color="D02E2E" w:themeColor="accent4"/>
        </w:tcBorders>
        <w:shd w:val="clear" w:color="auto" w:fill="E896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CD8" w:themeFill="accent5" w:themeFillTint="33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tcBorders>
          <w:insideH w:val="single" w:sz="6" w:space="0" w:color="E5A23F" w:themeColor="accent5"/>
          <w:insideV w:val="single" w:sz="6" w:space="0" w:color="E5A23F" w:themeColor="accent5"/>
        </w:tcBorders>
        <w:shd w:val="clear" w:color="auto" w:fill="F2D0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D2" w:themeFill="accent6" w:themeFillTint="33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tcBorders>
          <w:insideH w:val="single" w:sz="6" w:space="0" w:color="E6651E" w:themeColor="accent6"/>
          <w:insideV w:val="single" w:sz="6" w:space="0" w:color="E6651E" w:themeColor="accent6"/>
        </w:tcBorders>
        <w:shd w:val="clear" w:color="auto" w:fill="F2B18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EEC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AC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AC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B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7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7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4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4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CB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6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69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7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D0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D0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8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18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18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bottom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897D" w:themeColor="accen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shd w:val="clear" w:color="auto" w:fill="BEEC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bottom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A48" w:themeColor="accent2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shd w:val="clear" w:color="auto" w:fill="DDEB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bottom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2A56" w:themeColor="accent3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shd w:val="clear" w:color="auto" w:fill="EFC2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bottom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E2E" w:themeColor="accent4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shd w:val="clear" w:color="auto" w:fill="F3CB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bottom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A23F" w:themeColor="accent5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shd w:val="clear" w:color="auto" w:fill="F8E7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bottom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51E" w:themeColor="accent6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shd w:val="clear" w:color="auto" w:fill="F8D8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897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897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897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C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A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A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B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2A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2A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E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E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B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A2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A2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7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51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51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8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C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B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B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7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8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35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35B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035B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35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35B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35B3"/>
  </w:style>
  <w:style w:type="character" w:styleId="PageNumber">
    <w:name w:val="page number"/>
    <w:basedOn w:val="DefaultParagraphFont"/>
    <w:uiPriority w:val="99"/>
    <w:semiHidden/>
    <w:unhideWhenUsed/>
    <w:rsid w:val="005035B3"/>
  </w:style>
  <w:style w:type="character" w:styleId="PlaceholderText">
    <w:name w:val="Placeholder Text"/>
    <w:basedOn w:val="DefaultParagraphFont"/>
    <w:uiPriority w:val="99"/>
    <w:semiHidden/>
    <w:rsid w:val="00877CA6"/>
    <w:rPr>
      <w:color w:val="595959" w:themeColor="text1" w:themeTint="A6"/>
    </w:rPr>
  </w:style>
  <w:style w:type="table" w:customStyle="1" w:styleId="PlainTable1">
    <w:name w:val="Plain Table 1"/>
    <w:basedOn w:val="TableNormal"/>
    <w:uiPriority w:val="41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5035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5035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35B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035B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35B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35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35B3"/>
  </w:style>
  <w:style w:type="paragraph" w:styleId="Signature">
    <w:name w:val="Signature"/>
    <w:basedOn w:val="Normal"/>
    <w:link w:val="Signature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35B3"/>
  </w:style>
  <w:style w:type="character" w:styleId="SubtleEmphasis">
    <w:name w:val="Subtle Emphasis"/>
    <w:basedOn w:val="DefaultParagraphFont"/>
    <w:uiPriority w:val="19"/>
    <w:semiHidden/>
    <w:unhideWhenUsed/>
    <w:qFormat/>
    <w:rsid w:val="005035B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035B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035B3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35B3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35B3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35B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35B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35B3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35B3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35B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35B3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5035B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35B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35B3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35B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35B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35B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35B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35B3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35B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35B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3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35B3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35B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035B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03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035B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035B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035B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035B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035B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035B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035B3"/>
    <w:pPr>
      <w:spacing w:after="100"/>
      <w:ind w:left="1760"/>
    </w:p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77CA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77CA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7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8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22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41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042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23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927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4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353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061737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5225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517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772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823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4944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2500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213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5666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45375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259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856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462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19708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70370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3899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5671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730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701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65281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1759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14320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1481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47312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9098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13145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99181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7239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5941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8479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397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7784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1440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6894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1581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2407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7">
      <a:dk1>
        <a:sysClr val="windowText" lastClr="000000"/>
      </a:dk1>
      <a:lt1>
        <a:sysClr val="window" lastClr="FFFFFF"/>
      </a:lt1>
      <a:dk2>
        <a:srgbClr val="21272F"/>
      </a:dk2>
      <a:lt2>
        <a:srgbClr val="EAEAEA"/>
      </a:lt2>
      <a:accent1>
        <a:srgbClr val="27897D"/>
      </a:accent1>
      <a:accent2>
        <a:srgbClr val="79AA48"/>
      </a:accent2>
      <a:accent3>
        <a:srgbClr val="9E2A56"/>
      </a:accent3>
      <a:accent4>
        <a:srgbClr val="D02E2E"/>
      </a:accent4>
      <a:accent5>
        <a:srgbClr val="E5A23F"/>
      </a:accent5>
      <a:accent6>
        <a:srgbClr val="E6651E"/>
      </a:accent6>
      <a:hlink>
        <a:srgbClr val="27897D"/>
      </a:hlink>
      <a:folHlink>
        <a:srgbClr val="9E2A56"/>
      </a:folHlink>
    </a:clrScheme>
    <a:fontScheme name="Candara">
      <a:maj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258244-C316-4B91-BD1A-095E1FDE4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Bryn</dc:creator>
  <cp:lastModifiedBy>Bryn</cp:lastModifiedBy>
  <cp:revision>10</cp:revision>
  <dcterms:created xsi:type="dcterms:W3CDTF">2020-09-25T07:30:00Z</dcterms:created>
  <dcterms:modified xsi:type="dcterms:W3CDTF">2020-09-25T10:09:00Z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