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2540" w14:textId="77777777" w:rsidR="00C344E3" w:rsidRDefault="00C344E3">
      <w:pPr>
        <w:pStyle w:val="BodyText"/>
        <w:rPr>
          <w:rFonts w:ascii="Times New Roman"/>
          <w:sz w:val="20"/>
        </w:rPr>
      </w:pPr>
    </w:p>
    <w:p w14:paraId="18A3C565" w14:textId="77777777" w:rsidR="00C344E3" w:rsidRDefault="00C344E3">
      <w:pPr>
        <w:pStyle w:val="BodyText"/>
        <w:rPr>
          <w:rFonts w:ascii="Times New Roman"/>
          <w:sz w:val="20"/>
        </w:rPr>
      </w:pPr>
    </w:p>
    <w:p w14:paraId="5DD86F8F" w14:textId="77777777" w:rsidR="00C344E3" w:rsidRDefault="00C344E3">
      <w:pPr>
        <w:pStyle w:val="BodyText"/>
        <w:spacing w:before="9"/>
        <w:rPr>
          <w:rFonts w:ascii="Times New Roman"/>
          <w:sz w:val="21"/>
        </w:rPr>
      </w:pPr>
    </w:p>
    <w:p w14:paraId="533C9FCF" w14:textId="77777777" w:rsidR="00C344E3" w:rsidRDefault="00C739BD">
      <w:pPr>
        <w:pStyle w:val="Title"/>
      </w:pPr>
      <w:r>
        <w:t>Core Unit 2 – Regulation of Retirement Provision</w:t>
      </w:r>
    </w:p>
    <w:p w14:paraId="57CBA064" w14:textId="7C239220" w:rsidR="00C344E3" w:rsidRDefault="00401AEA">
      <w:pPr>
        <w:spacing w:before="66"/>
        <w:ind w:left="905" w:right="902"/>
        <w:jc w:val="center"/>
        <w:rPr>
          <w:sz w:val="28"/>
        </w:rPr>
      </w:pPr>
      <w:r>
        <w:rPr>
          <w:sz w:val="28"/>
        </w:rPr>
        <w:t>Mock Examination</w:t>
      </w:r>
      <w:r w:rsidR="00C739BD">
        <w:rPr>
          <w:sz w:val="28"/>
        </w:rPr>
        <w:t xml:space="preserve"> </w:t>
      </w:r>
    </w:p>
    <w:p w14:paraId="616E5155" w14:textId="72AA79D2" w:rsidR="00C344E3" w:rsidRDefault="00C739BD">
      <w:pPr>
        <w:spacing w:before="1"/>
        <w:ind w:left="881" w:right="905"/>
        <w:jc w:val="center"/>
        <w:rPr>
          <w:i/>
          <w:sz w:val="16"/>
        </w:rPr>
      </w:pPr>
      <w:r>
        <w:rPr>
          <w:i/>
          <w:sz w:val="16"/>
        </w:rPr>
        <w:t xml:space="preserve">Recommended Time: </w:t>
      </w:r>
      <w:r w:rsidR="00C95B47">
        <w:rPr>
          <w:i/>
          <w:sz w:val="16"/>
        </w:rPr>
        <w:t>2</w:t>
      </w:r>
      <w:r>
        <w:rPr>
          <w:i/>
          <w:sz w:val="16"/>
        </w:rPr>
        <w:t xml:space="preserve"> Hour</w:t>
      </w:r>
      <w:r w:rsidR="00F410D4">
        <w:rPr>
          <w:i/>
          <w:sz w:val="16"/>
        </w:rPr>
        <w:t>s</w:t>
      </w:r>
    </w:p>
    <w:p w14:paraId="60331CBE" w14:textId="176D292C" w:rsidR="00C344E3" w:rsidRDefault="00C344E3">
      <w:pPr>
        <w:pStyle w:val="BodyText"/>
        <w:rPr>
          <w:i/>
          <w:sz w:val="16"/>
        </w:rPr>
      </w:pPr>
    </w:p>
    <w:p w14:paraId="3230267B" w14:textId="77777777" w:rsidR="0095748F" w:rsidRDefault="0095748F" w:rsidP="00C95B47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63"/>
        <w:ind w:hanging="361"/>
      </w:pPr>
      <w:r>
        <w:t>One of the three main aspects of the Pension Regulator’s anti-avoidance regime is TPR’s power to issue contribution notices.  Explain the when a contribution might be issued, the implications for employers and when TPR would use a “material test”.</w:t>
      </w:r>
      <w:r>
        <w:tab/>
      </w:r>
    </w:p>
    <w:p w14:paraId="7C410224" w14:textId="3DB39561" w:rsidR="0095748F" w:rsidRDefault="004F1734" w:rsidP="004F1734">
      <w:pPr>
        <w:pStyle w:val="BodyText"/>
        <w:ind w:firstLine="460"/>
        <w:rPr>
          <w:b/>
          <w:bCs/>
        </w:rPr>
      </w:pPr>
      <w:r>
        <w:rPr>
          <w:b/>
          <w:bCs/>
        </w:rPr>
        <w:t>(</w:t>
      </w:r>
      <w:r w:rsidR="0095748F">
        <w:rPr>
          <w:b/>
          <w:bCs/>
        </w:rPr>
        <w:t>15 marks</w:t>
      </w:r>
      <w:r>
        <w:rPr>
          <w:b/>
          <w:bCs/>
        </w:rPr>
        <w:t>)</w:t>
      </w:r>
    </w:p>
    <w:p w14:paraId="2234D29D" w14:textId="77777777" w:rsidR="0095748F" w:rsidRDefault="0095748F" w:rsidP="0095748F">
      <w:pPr>
        <w:tabs>
          <w:tab w:val="left" w:pos="1540"/>
          <w:tab w:val="left" w:pos="1541"/>
        </w:tabs>
        <w:ind w:right="102"/>
        <w:rPr>
          <w:sz w:val="18"/>
        </w:rPr>
      </w:pPr>
    </w:p>
    <w:p w14:paraId="2638DDDF" w14:textId="77777777" w:rsidR="00332D98" w:rsidRDefault="00332D98" w:rsidP="0095748F">
      <w:pPr>
        <w:tabs>
          <w:tab w:val="left" w:pos="1540"/>
          <w:tab w:val="left" w:pos="1541"/>
        </w:tabs>
        <w:ind w:right="102"/>
        <w:rPr>
          <w:sz w:val="18"/>
        </w:rPr>
      </w:pPr>
    </w:p>
    <w:p w14:paraId="7DE816DE" w14:textId="77777777" w:rsidR="0095748F" w:rsidRDefault="0095748F" w:rsidP="00C95B47">
      <w:pPr>
        <w:pStyle w:val="Heading1"/>
        <w:numPr>
          <w:ilvl w:val="0"/>
          <w:numId w:val="1"/>
        </w:numPr>
        <w:tabs>
          <w:tab w:val="left" w:pos="527"/>
          <w:tab w:val="left" w:pos="528"/>
        </w:tabs>
        <w:spacing w:before="63" w:line="276" w:lineRule="auto"/>
        <w:ind w:right="443"/>
      </w:pPr>
      <w:r>
        <w:t>List the Financial Conduct Authority’s Principles of Good Regulation.</w:t>
      </w:r>
    </w:p>
    <w:p w14:paraId="4BC243C0" w14:textId="0301C2C1" w:rsidR="0095748F" w:rsidRDefault="004F1734" w:rsidP="004F1734">
      <w:pPr>
        <w:spacing w:line="219" w:lineRule="exact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95748F">
        <w:rPr>
          <w:b/>
          <w:sz w:val="18"/>
        </w:rPr>
        <w:t>5 marks</w:t>
      </w:r>
      <w:r>
        <w:rPr>
          <w:b/>
          <w:sz w:val="18"/>
        </w:rPr>
        <w:t>)</w:t>
      </w:r>
    </w:p>
    <w:p w14:paraId="5AA0F38A" w14:textId="62FE48F4" w:rsidR="0095748F" w:rsidRDefault="0095748F" w:rsidP="0095748F">
      <w:pPr>
        <w:pStyle w:val="BodyText"/>
        <w:spacing w:before="3"/>
        <w:ind w:left="720"/>
      </w:pPr>
    </w:p>
    <w:p w14:paraId="5041A68F" w14:textId="77777777" w:rsidR="0095748F" w:rsidRDefault="0095748F" w:rsidP="0095748F">
      <w:pPr>
        <w:pStyle w:val="BodyText"/>
        <w:spacing w:before="3"/>
        <w:ind w:left="720"/>
      </w:pPr>
    </w:p>
    <w:p w14:paraId="720D62AA" w14:textId="77777777" w:rsidR="0095748F" w:rsidRDefault="0095748F" w:rsidP="00C95B47">
      <w:pPr>
        <w:pStyle w:val="Heading1"/>
        <w:numPr>
          <w:ilvl w:val="0"/>
          <w:numId w:val="1"/>
        </w:numPr>
        <w:tabs>
          <w:tab w:val="left" w:pos="527"/>
          <w:tab w:val="left" w:pos="528"/>
        </w:tabs>
        <w:spacing w:before="64" w:line="276" w:lineRule="auto"/>
        <w:ind w:right="342"/>
      </w:pPr>
      <w:r>
        <w:t>In relation to defined contribution scheme investments list t</w:t>
      </w:r>
      <w:r w:rsidRPr="00C17FFD">
        <w:t>he key governance requirements</w:t>
      </w:r>
      <w:r>
        <w:t xml:space="preserve"> for trustees set out in the Occupational Pension Schemes (Charges and Governance) Regulations 2015, and the content that must be included in the annual Chair’s statement.</w:t>
      </w:r>
    </w:p>
    <w:p w14:paraId="068F0773" w14:textId="6608F828" w:rsidR="0095748F" w:rsidRPr="00EC5327" w:rsidRDefault="004F1734" w:rsidP="004F1734">
      <w:pPr>
        <w:spacing w:line="219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95748F">
        <w:rPr>
          <w:b/>
          <w:sz w:val="18"/>
        </w:rPr>
        <w:t>10 marks</w:t>
      </w:r>
      <w:r>
        <w:rPr>
          <w:b/>
          <w:sz w:val="18"/>
        </w:rPr>
        <w:t>)</w:t>
      </w:r>
    </w:p>
    <w:p w14:paraId="4667D84A" w14:textId="24A313D2" w:rsidR="0095748F" w:rsidRDefault="0095748F" w:rsidP="0095748F">
      <w:pPr>
        <w:pStyle w:val="BodyText"/>
        <w:ind w:left="720"/>
      </w:pPr>
    </w:p>
    <w:p w14:paraId="1F3C2FB0" w14:textId="77777777" w:rsidR="0095748F" w:rsidRDefault="0095748F" w:rsidP="0095748F">
      <w:pPr>
        <w:pStyle w:val="BodyText"/>
        <w:ind w:left="720"/>
      </w:pPr>
    </w:p>
    <w:p w14:paraId="25DFB61D" w14:textId="22885E9F" w:rsidR="0095748F" w:rsidRDefault="008B4FEF" w:rsidP="00C95B47">
      <w:pPr>
        <w:pStyle w:val="Heading1"/>
        <w:numPr>
          <w:ilvl w:val="0"/>
          <w:numId w:val="1"/>
        </w:numPr>
        <w:tabs>
          <w:tab w:val="left" w:pos="527"/>
          <w:tab w:val="left" w:pos="528"/>
        </w:tabs>
        <w:spacing w:before="63" w:line="276" w:lineRule="auto"/>
        <w:ind w:right="443"/>
      </w:pPr>
      <w:r>
        <w:t xml:space="preserve">Describe why the Pensions Regulator has issued guidance on record keeping, outlining how the guidance categorises data and the trustee/manager duties relating to </w:t>
      </w:r>
      <w:r w:rsidR="008E4569">
        <w:t>good record keeping</w:t>
      </w:r>
      <w:r w:rsidR="0095748F">
        <w:t>.</w:t>
      </w:r>
    </w:p>
    <w:p w14:paraId="125A3FF8" w14:textId="61CF4E86" w:rsidR="0095748F" w:rsidRDefault="004F1734" w:rsidP="004F1734">
      <w:pPr>
        <w:spacing w:line="219" w:lineRule="exact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8B4FEF">
        <w:rPr>
          <w:b/>
          <w:sz w:val="18"/>
        </w:rPr>
        <w:t>10</w:t>
      </w:r>
      <w:r w:rsidR="0095748F">
        <w:rPr>
          <w:b/>
          <w:sz w:val="18"/>
        </w:rPr>
        <w:t xml:space="preserve"> marks</w:t>
      </w:r>
      <w:r>
        <w:rPr>
          <w:b/>
          <w:sz w:val="18"/>
        </w:rPr>
        <w:t>)</w:t>
      </w:r>
    </w:p>
    <w:p w14:paraId="734F35F3" w14:textId="40D5906F" w:rsidR="0095748F" w:rsidRDefault="0095748F" w:rsidP="0095748F">
      <w:pPr>
        <w:pStyle w:val="BodyText"/>
        <w:ind w:left="527"/>
      </w:pPr>
    </w:p>
    <w:p w14:paraId="5C12BC6D" w14:textId="77777777" w:rsidR="0095748F" w:rsidRDefault="0095748F" w:rsidP="0095748F">
      <w:pPr>
        <w:pStyle w:val="BodyText"/>
        <w:ind w:left="527"/>
      </w:pPr>
    </w:p>
    <w:p w14:paraId="104CB1EC" w14:textId="781DD2E8" w:rsidR="00C344E3" w:rsidRDefault="00AF1B81" w:rsidP="00C95B47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352"/>
      </w:pPr>
      <w:r>
        <w:t xml:space="preserve">Under trust law, pension scheme trustees have an overarching duty </w:t>
      </w:r>
      <w:r w:rsidR="00E26864">
        <w:t xml:space="preserve">to </w:t>
      </w:r>
      <w:r w:rsidR="007C2D93">
        <w:t>administer the pension scheme in accordance with the primary purpose for which the scheme was established (i.e., to secure the benefits)</w:t>
      </w:r>
      <w:r w:rsidR="000B0917">
        <w:t>.</w:t>
      </w:r>
    </w:p>
    <w:p w14:paraId="1D8E4565" w14:textId="334C667B" w:rsidR="00092808" w:rsidRDefault="00C13D00" w:rsidP="00092808">
      <w:pPr>
        <w:pStyle w:val="Heading1"/>
        <w:tabs>
          <w:tab w:val="left" w:pos="460"/>
          <w:tab w:val="left" w:pos="461"/>
        </w:tabs>
        <w:spacing w:line="276" w:lineRule="auto"/>
        <w:ind w:left="460" w:right="352"/>
      </w:pPr>
      <w:r>
        <w:t xml:space="preserve">Explain the overarching duty of a pension scheme trustee, and </w:t>
      </w:r>
      <w:r w:rsidR="00092808">
        <w:t>five of the additional</w:t>
      </w:r>
      <w:r>
        <w:t xml:space="preserve">, more specific </w:t>
      </w:r>
      <w:r w:rsidR="00092808">
        <w:t>duties pension scheme trustees have under trust law</w:t>
      </w:r>
      <w:r w:rsidR="0046657E">
        <w:t>.</w:t>
      </w:r>
      <w:r w:rsidR="00092808">
        <w:t xml:space="preserve"> </w:t>
      </w:r>
    </w:p>
    <w:p w14:paraId="17CCD11A" w14:textId="2D9F881F" w:rsidR="00C344E3" w:rsidRPr="00EC5327" w:rsidRDefault="004F1734" w:rsidP="004F1734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C13D00">
        <w:rPr>
          <w:b/>
          <w:sz w:val="18"/>
        </w:rPr>
        <w:t>20</w:t>
      </w:r>
      <w:r w:rsidR="00C739BD">
        <w:rPr>
          <w:b/>
          <w:sz w:val="18"/>
        </w:rPr>
        <w:t xml:space="preserve"> marks</w:t>
      </w:r>
      <w:r>
        <w:rPr>
          <w:b/>
          <w:sz w:val="18"/>
        </w:rPr>
        <w:t>)</w:t>
      </w:r>
    </w:p>
    <w:p w14:paraId="2538FF95" w14:textId="53FDB457" w:rsidR="000950AD" w:rsidRDefault="00C13D00" w:rsidP="004F1734">
      <w:pPr>
        <w:pStyle w:val="BodyText"/>
        <w:spacing w:before="64"/>
      </w:pPr>
      <w:r>
        <w:t xml:space="preserve">          </w:t>
      </w:r>
    </w:p>
    <w:p w14:paraId="21A673AC" w14:textId="77777777" w:rsidR="004D4284" w:rsidRDefault="004D4284">
      <w:pPr>
        <w:pStyle w:val="BodyText"/>
        <w:ind w:left="527"/>
      </w:pPr>
    </w:p>
    <w:p w14:paraId="47F954F4" w14:textId="77777777" w:rsidR="0095748F" w:rsidRDefault="0095748F" w:rsidP="00C95B47">
      <w:pPr>
        <w:pStyle w:val="Heading1"/>
        <w:numPr>
          <w:ilvl w:val="0"/>
          <w:numId w:val="1"/>
        </w:numPr>
        <w:tabs>
          <w:tab w:val="left" w:pos="527"/>
          <w:tab w:val="left" w:pos="528"/>
        </w:tabs>
        <w:spacing w:before="63" w:line="276" w:lineRule="auto"/>
        <w:ind w:right="443"/>
      </w:pPr>
      <w:r>
        <w:t>In relation to the Proceeds of Crime Act (POCA), outline the two important features of money laundering offences and the three main money laundering offences.</w:t>
      </w:r>
    </w:p>
    <w:p w14:paraId="433CE018" w14:textId="370E818C" w:rsidR="0095748F" w:rsidRDefault="004F1734" w:rsidP="004F1734">
      <w:pPr>
        <w:spacing w:line="219" w:lineRule="exact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95748F">
        <w:rPr>
          <w:b/>
          <w:sz w:val="18"/>
        </w:rPr>
        <w:t>5 marks</w:t>
      </w:r>
      <w:r>
        <w:rPr>
          <w:b/>
          <w:sz w:val="18"/>
        </w:rPr>
        <w:t>)</w:t>
      </w:r>
    </w:p>
    <w:p w14:paraId="5B85CB68" w14:textId="77777777" w:rsidR="004F1734" w:rsidRDefault="004F1734" w:rsidP="004F1734">
      <w:pPr>
        <w:spacing w:line="219" w:lineRule="exact"/>
        <w:ind w:firstLine="460"/>
        <w:rPr>
          <w:b/>
          <w:sz w:val="18"/>
        </w:rPr>
      </w:pPr>
    </w:p>
    <w:p w14:paraId="5C4D63BD" w14:textId="77777777" w:rsidR="0095748F" w:rsidRDefault="0095748F" w:rsidP="0095748F">
      <w:pPr>
        <w:pStyle w:val="BodyText"/>
        <w:spacing w:before="3"/>
        <w:ind w:left="1440"/>
      </w:pPr>
    </w:p>
    <w:p w14:paraId="77D6CD66" w14:textId="05CCC3AA" w:rsidR="00C344E3" w:rsidRDefault="00EE1444" w:rsidP="00C95B47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63"/>
        <w:ind w:hanging="361"/>
      </w:pPr>
      <w:r w:rsidRPr="00EE1444">
        <w:t xml:space="preserve">In relation to the Data Protection Act 2018, list the notification requirements of data controllers </w:t>
      </w:r>
      <w:r w:rsidRPr="00EE1444">
        <w:rPr>
          <w:lang w:val="en-GB"/>
        </w:rPr>
        <w:t>and outline the key considerations surrounding the disclosure of personal data.</w:t>
      </w:r>
      <w:r w:rsidR="00AB46AC">
        <w:tab/>
      </w:r>
    </w:p>
    <w:p w14:paraId="35036DB1" w14:textId="2A30D5B6" w:rsidR="00AB46AC" w:rsidRDefault="004F1734" w:rsidP="004F1734">
      <w:pPr>
        <w:pStyle w:val="BodyText"/>
        <w:ind w:firstLine="460"/>
        <w:rPr>
          <w:b/>
          <w:bCs/>
        </w:rPr>
      </w:pPr>
      <w:r>
        <w:rPr>
          <w:b/>
          <w:bCs/>
        </w:rPr>
        <w:t>(</w:t>
      </w:r>
      <w:r w:rsidR="00647D2A">
        <w:rPr>
          <w:b/>
          <w:bCs/>
        </w:rPr>
        <w:t>1</w:t>
      </w:r>
      <w:r w:rsidR="00AB46AC">
        <w:rPr>
          <w:b/>
          <w:bCs/>
        </w:rPr>
        <w:t>5 marks</w:t>
      </w:r>
      <w:r>
        <w:rPr>
          <w:b/>
          <w:bCs/>
        </w:rPr>
        <w:t>)</w:t>
      </w:r>
    </w:p>
    <w:p w14:paraId="5A436E26" w14:textId="597DBE45" w:rsidR="009D5026" w:rsidRDefault="009D5026" w:rsidP="009D5026">
      <w:pPr>
        <w:pStyle w:val="BodyText"/>
        <w:ind w:left="527"/>
      </w:pPr>
    </w:p>
    <w:p w14:paraId="0AE674AA" w14:textId="77777777" w:rsidR="00B11469" w:rsidRDefault="00B11469" w:rsidP="009D5026">
      <w:pPr>
        <w:pStyle w:val="BodyText"/>
        <w:ind w:left="527"/>
      </w:pPr>
    </w:p>
    <w:p w14:paraId="3EF1E8B4" w14:textId="6ABCA59B" w:rsidR="00C344E3" w:rsidRDefault="007A5139" w:rsidP="00C95B47">
      <w:pPr>
        <w:pStyle w:val="Heading1"/>
        <w:numPr>
          <w:ilvl w:val="0"/>
          <w:numId w:val="1"/>
        </w:numPr>
        <w:tabs>
          <w:tab w:val="left" w:pos="527"/>
          <w:tab w:val="left" w:pos="528"/>
        </w:tabs>
        <w:spacing w:before="1"/>
        <w:ind w:left="527" w:hanging="428"/>
      </w:pPr>
      <w:r>
        <w:t xml:space="preserve">What are </w:t>
      </w:r>
      <w:r w:rsidR="007F36EB">
        <w:t>“</w:t>
      </w:r>
      <w:r>
        <w:t>authorised payments</w:t>
      </w:r>
      <w:r w:rsidR="000C3C51">
        <w:t>”</w:t>
      </w:r>
      <w:r>
        <w:t>, and</w:t>
      </w:r>
      <w:r w:rsidR="002823F8">
        <w:t xml:space="preserve"> what tax charges </w:t>
      </w:r>
      <w:r w:rsidR="000C3C51">
        <w:t>“unauthorised payments”</w:t>
      </w:r>
      <w:r w:rsidR="002823F8">
        <w:t xml:space="preserve"> attract?</w:t>
      </w:r>
    </w:p>
    <w:p w14:paraId="7D97FDCB" w14:textId="3F7EBA4A" w:rsidR="00C344E3" w:rsidRPr="00EC5327" w:rsidRDefault="004F1734" w:rsidP="004F1734">
      <w:pPr>
        <w:spacing w:before="34"/>
        <w:ind w:firstLine="527"/>
        <w:rPr>
          <w:b/>
          <w:sz w:val="18"/>
        </w:rPr>
      </w:pPr>
      <w:r>
        <w:rPr>
          <w:b/>
          <w:sz w:val="18"/>
        </w:rPr>
        <w:t>(</w:t>
      </w:r>
      <w:r w:rsidR="00C739BD">
        <w:rPr>
          <w:b/>
          <w:sz w:val="18"/>
        </w:rPr>
        <w:t>10 marks</w:t>
      </w:r>
      <w:r>
        <w:rPr>
          <w:b/>
          <w:sz w:val="18"/>
        </w:rPr>
        <w:t>)</w:t>
      </w:r>
    </w:p>
    <w:p w14:paraId="1A9C838A" w14:textId="77777777" w:rsidR="00C344E3" w:rsidRDefault="00C344E3"/>
    <w:p w14:paraId="1CA8634A" w14:textId="77777777" w:rsidR="00D72E29" w:rsidRDefault="00D72E29"/>
    <w:p w14:paraId="62BAE924" w14:textId="77777777" w:rsidR="00C344E3" w:rsidRDefault="00C344E3">
      <w:pPr>
        <w:rPr>
          <w:sz w:val="15"/>
        </w:rPr>
        <w:sectPr w:rsidR="00C344E3">
          <w:headerReference w:type="default" r:id="rId7"/>
          <w:footerReference w:type="even" r:id="rId8"/>
          <w:footerReference w:type="default" r:id="rId9"/>
          <w:footerReference w:type="first" r:id="rId10"/>
          <w:pgSz w:w="11910" w:h="16840"/>
          <w:pgMar w:top="2200" w:right="1600" w:bottom="640" w:left="1340" w:header="167" w:footer="451" w:gutter="0"/>
          <w:cols w:space="720"/>
        </w:sectPr>
      </w:pPr>
    </w:p>
    <w:p w14:paraId="6C0224C9" w14:textId="4416A3E7" w:rsidR="00424994" w:rsidRDefault="003E4033" w:rsidP="00C95B47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352"/>
      </w:pPr>
      <w:r>
        <w:t>In relation to the cessation of contracting-out</w:t>
      </w:r>
      <w:r w:rsidR="00BA4DCC">
        <w:t>, outline how the increase in National Insurance Contributions (NICs) can be recovered</w:t>
      </w:r>
      <w:r w:rsidR="0002339A">
        <w:t xml:space="preserve"> by an employer</w:t>
      </w:r>
      <w:r w:rsidR="00B11469">
        <w:t xml:space="preserve">. </w:t>
      </w:r>
    </w:p>
    <w:p w14:paraId="294A2224" w14:textId="504F44D1" w:rsidR="00424994" w:rsidRPr="00EC5327" w:rsidRDefault="004F1734" w:rsidP="004F1734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424994">
        <w:rPr>
          <w:b/>
          <w:sz w:val="18"/>
        </w:rPr>
        <w:t>10 marks</w:t>
      </w:r>
      <w:r>
        <w:rPr>
          <w:b/>
          <w:sz w:val="18"/>
        </w:rPr>
        <w:t>)</w:t>
      </w:r>
    </w:p>
    <w:sectPr w:rsidR="00424994" w:rsidRPr="00EC5327" w:rsidSect="00B11469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10" w:h="16840"/>
      <w:pgMar w:top="2200" w:right="1600" w:bottom="640" w:left="1340" w:header="167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F9EA" w14:textId="77777777" w:rsidR="00514AF0" w:rsidRDefault="00514AF0">
      <w:r>
        <w:separator/>
      </w:r>
    </w:p>
  </w:endnote>
  <w:endnote w:type="continuationSeparator" w:id="0">
    <w:p w14:paraId="2D6C319E" w14:textId="77777777" w:rsidR="00514AF0" w:rsidRDefault="005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D3CA" w14:textId="43EBCEA3" w:rsidR="00F410D4" w:rsidRDefault="00F410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3120" behindDoc="0" locked="0" layoutInCell="1" allowOverlap="1" wp14:anchorId="48630C92" wp14:editId="7C74453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4" name="Text Box 4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4D043" w14:textId="607693F2" w:rsidR="00F410D4" w:rsidRPr="00F410D4" w:rsidRDefault="00F410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1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30C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 - Access limited to Weir personnel or by NDA" style="position:absolute;margin-left:0;margin-top:.05pt;width:34.95pt;height:34.95pt;z-index:48749312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73C4D043" w14:textId="607693F2" w:rsidR="00F410D4" w:rsidRPr="00F410D4" w:rsidRDefault="00F410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10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950A" w14:textId="6E2CAD7C" w:rsidR="00C344E3" w:rsidRDefault="00C344E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6526" w14:textId="0E6BD510" w:rsidR="00F410D4" w:rsidRDefault="00F410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2096" behindDoc="0" locked="0" layoutInCell="1" allowOverlap="1" wp14:anchorId="59D985FA" wp14:editId="0B24EE2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3" name="Text Box 3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54EAD" w14:textId="635828AC" w:rsidR="00F410D4" w:rsidRPr="00F410D4" w:rsidRDefault="00F410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1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985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- Access limited to Weir personnel or by NDA" style="position:absolute;margin-left:0;margin-top:.05pt;width:34.95pt;height:34.95pt;z-index:48749209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44754EAD" w14:textId="635828AC" w:rsidR="00F410D4" w:rsidRPr="00F410D4" w:rsidRDefault="00F410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10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0C14" w14:textId="65495244" w:rsidR="00F410D4" w:rsidRDefault="00F410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48E5E4CD" wp14:editId="35B5DB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7" name="Text Box 7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7F651" w14:textId="19B15041" w:rsidR="00F410D4" w:rsidRPr="00F410D4" w:rsidRDefault="00F410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1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5E4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 - Access limited to Weir personnel or by NDA" style="position:absolute;margin-left:0;margin-top:.05pt;width:34.95pt;height:34.95pt;z-index:48749619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" filled="f" stroked="f">
              <v:textbox style="mso-fit-shape-to-text:t" inset="30pt,0,0,0">
                <w:txbxContent>
                  <w:p w14:paraId="4EF7F651" w14:textId="19B15041" w:rsidR="00F410D4" w:rsidRPr="00F410D4" w:rsidRDefault="00F410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10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6C83" w14:textId="34E295E9" w:rsidR="00424994" w:rsidRDefault="00F410D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739DDAFE" wp14:editId="4F803D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8" name="Text Box 8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97A61" w14:textId="55A8990E" w:rsidR="00F410D4" w:rsidRPr="00F410D4" w:rsidRDefault="00F410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1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DDA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INTERNAL - Access limited to Weir personnel or by NDA" style="position:absolute;margin-left:0;margin-top:.05pt;width:34.95pt;height:34.95pt;z-index:48749721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" filled="f" stroked="f">
              <v:textbox style="mso-fit-shape-to-text:t" inset="30pt,0,0,0">
                <w:txbxContent>
                  <w:p w14:paraId="1B097A61" w14:textId="55A8990E" w:rsidR="00F410D4" w:rsidRPr="00F410D4" w:rsidRDefault="00F410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10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3F80" w14:textId="084A9DD4" w:rsidR="00F410D4" w:rsidRDefault="00F410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31958F21" wp14:editId="703148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6" name="Text Box 6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E37F8" w14:textId="3795D5B9" w:rsidR="00F410D4" w:rsidRPr="00F410D4" w:rsidRDefault="00F410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1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58F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 - Access limited to Weir personnel or by NDA" style="position:absolute;margin-left:0;margin-top:.05pt;width:34.95pt;height:34.95pt;z-index:4874951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VQCQIAABw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" filled="f" stroked="f">
              <v:textbox style="mso-fit-shape-to-text:t" inset="30pt,0,0,0">
                <w:txbxContent>
                  <w:p w14:paraId="165E37F8" w14:textId="3795D5B9" w:rsidR="00F410D4" w:rsidRPr="00F410D4" w:rsidRDefault="00F410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10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A3A7" w14:textId="77777777" w:rsidR="00514AF0" w:rsidRDefault="00514AF0">
      <w:r>
        <w:separator/>
      </w:r>
    </w:p>
  </w:footnote>
  <w:footnote w:type="continuationSeparator" w:id="0">
    <w:p w14:paraId="6CC12C8D" w14:textId="77777777" w:rsidR="00514AF0" w:rsidRDefault="0051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E60F" w14:textId="4F87FB8F" w:rsidR="00D13ED5" w:rsidRDefault="00D13ED5" w:rsidP="00D13ED5">
    <w:pPr>
      <w:jc w:val="right"/>
      <w:rPr>
        <w:rFonts w:asciiTheme="minorHAnsi" w:eastAsiaTheme="minorHAnsi" w:hAnsiTheme="minorHAnsi" w:cstheme="minorBidi"/>
        <w:b/>
        <w:bCs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487491072" behindDoc="0" locked="0" layoutInCell="1" allowOverlap="1" wp14:anchorId="7EE8DC43" wp14:editId="0D0D3A7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2" name="Picture 2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Devonshire House</w:t>
    </w:r>
  </w:p>
  <w:p w14:paraId="0EC4A0B3" w14:textId="77777777" w:rsidR="00D13ED5" w:rsidRDefault="00D13ED5" w:rsidP="00D13ED5">
    <w:pPr>
      <w:jc w:val="right"/>
      <w:rPr>
        <w:b/>
        <w:bCs/>
      </w:rPr>
    </w:pPr>
    <w:r>
      <w:t xml:space="preserve">60 Goswell Road </w:t>
    </w:r>
  </w:p>
  <w:p w14:paraId="28559EF0" w14:textId="77777777" w:rsidR="00D13ED5" w:rsidRDefault="00D13ED5" w:rsidP="00D13ED5">
    <w:pPr>
      <w:jc w:val="right"/>
      <w:rPr>
        <w:b/>
        <w:bCs/>
      </w:rPr>
    </w:pPr>
    <w:r>
      <w:t xml:space="preserve">London </w:t>
    </w:r>
  </w:p>
  <w:p w14:paraId="77BF2198" w14:textId="77777777" w:rsidR="00D13ED5" w:rsidRDefault="00D13ED5" w:rsidP="00D13ED5">
    <w:pPr>
      <w:jc w:val="right"/>
      <w:rPr>
        <w:b/>
        <w:bCs/>
      </w:rPr>
    </w:pPr>
    <w:r>
      <w:t xml:space="preserve">EC1M 7AD </w:t>
    </w:r>
  </w:p>
  <w:p w14:paraId="7A78BE33" w14:textId="77777777" w:rsidR="00D13ED5" w:rsidRPr="00F410D4" w:rsidRDefault="00D13ED5" w:rsidP="00D13ED5">
    <w:pPr>
      <w:jc w:val="right"/>
      <w:rPr>
        <w:b/>
        <w:bCs/>
        <w:lang w:val="de-DE"/>
      </w:rPr>
    </w:pPr>
    <w:r w:rsidRPr="00F410D4">
      <w:rPr>
        <w:lang w:val="de-DE"/>
      </w:rPr>
      <w:t xml:space="preserve">T: +44 (0) 20 7247 1452 </w:t>
    </w:r>
  </w:p>
  <w:p w14:paraId="05259FA5" w14:textId="77777777" w:rsidR="00D13ED5" w:rsidRPr="00F410D4" w:rsidRDefault="00D13ED5" w:rsidP="00D13ED5">
    <w:pPr>
      <w:jc w:val="right"/>
      <w:rPr>
        <w:b/>
        <w:bCs/>
        <w:lang w:val="de-DE"/>
      </w:rPr>
    </w:pPr>
    <w:r w:rsidRPr="00F410D4">
      <w:rPr>
        <w:lang w:val="de-DE"/>
      </w:rPr>
      <w:t>W: www.pensions-pmi.org.uk</w:t>
    </w:r>
  </w:p>
  <w:p w14:paraId="1121A08A" w14:textId="5996D440" w:rsidR="00C344E3" w:rsidRPr="00F410D4" w:rsidRDefault="00C344E3">
    <w:pPr>
      <w:pStyle w:val="BodyText"/>
      <w:spacing w:line="14" w:lineRule="auto"/>
      <w:rPr>
        <w:sz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BA01" w14:textId="77777777" w:rsidR="00424994" w:rsidRDefault="0042499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9024" behindDoc="0" locked="0" layoutInCell="1" allowOverlap="1" wp14:anchorId="0E2B4D4B" wp14:editId="2E40E42E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2339975" cy="1282700"/>
          <wp:effectExtent l="0" t="0" r="317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B6A"/>
    <w:multiLevelType w:val="hybridMultilevel"/>
    <w:tmpl w:val="B1B62BF4"/>
    <w:lvl w:ilvl="0" w:tplc="D2D01A6C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153B395A"/>
    <w:multiLevelType w:val="hybridMultilevel"/>
    <w:tmpl w:val="BBBCBC26"/>
    <w:lvl w:ilvl="0" w:tplc="D2D01A6C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1ED206B7"/>
    <w:multiLevelType w:val="hybridMultilevel"/>
    <w:tmpl w:val="6286285C"/>
    <w:lvl w:ilvl="0" w:tplc="D2D01A6C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501D40"/>
    <w:multiLevelType w:val="hybridMultilevel"/>
    <w:tmpl w:val="FABC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0B22E">
      <w:numFmt w:val="bullet"/>
      <w:lvlText w:val="•"/>
      <w:lvlJc w:val="left"/>
      <w:pPr>
        <w:ind w:left="2160" w:hanging="360"/>
      </w:pPr>
      <w:rPr>
        <w:rFonts w:ascii="Carlito" w:eastAsia="Carlito" w:hAnsi="Carlito" w:cs="Carlit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1EDA"/>
    <w:multiLevelType w:val="hybridMultilevel"/>
    <w:tmpl w:val="8D20A8EE"/>
    <w:lvl w:ilvl="0" w:tplc="D2D01A6C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45AB7609"/>
    <w:multiLevelType w:val="hybridMultilevel"/>
    <w:tmpl w:val="582A9FF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316323F"/>
    <w:multiLevelType w:val="hybridMultilevel"/>
    <w:tmpl w:val="34CC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5E43"/>
    <w:multiLevelType w:val="hybridMultilevel"/>
    <w:tmpl w:val="BD20E9C4"/>
    <w:lvl w:ilvl="0" w:tplc="D2D01A6C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6F0864D9"/>
    <w:multiLevelType w:val="hybridMultilevel"/>
    <w:tmpl w:val="C590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3C1C"/>
    <w:multiLevelType w:val="hybridMultilevel"/>
    <w:tmpl w:val="E68C06E6"/>
    <w:lvl w:ilvl="0" w:tplc="ED381386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BA8F7B0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D2D01A6C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19924DAE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A1D28C8A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20DE62A6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C01164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822AF5FE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CF0EC2B0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70A83714"/>
    <w:multiLevelType w:val="hybridMultilevel"/>
    <w:tmpl w:val="AE9C033C"/>
    <w:lvl w:ilvl="0" w:tplc="D2D01A6C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715C259B"/>
    <w:multiLevelType w:val="hybridMultilevel"/>
    <w:tmpl w:val="C7B0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86472"/>
    <w:multiLevelType w:val="hybridMultilevel"/>
    <w:tmpl w:val="AE46373A"/>
    <w:lvl w:ilvl="0" w:tplc="D2D01A6C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79BB5076"/>
    <w:multiLevelType w:val="hybridMultilevel"/>
    <w:tmpl w:val="F5A8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75369">
    <w:abstractNumId w:val="9"/>
  </w:num>
  <w:num w:numId="2" w16cid:durableId="1132401853">
    <w:abstractNumId w:val="3"/>
  </w:num>
  <w:num w:numId="3" w16cid:durableId="261957722">
    <w:abstractNumId w:val="6"/>
  </w:num>
  <w:num w:numId="4" w16cid:durableId="1340541164">
    <w:abstractNumId w:val="5"/>
  </w:num>
  <w:num w:numId="5" w16cid:durableId="912274629">
    <w:abstractNumId w:val="13"/>
  </w:num>
  <w:num w:numId="6" w16cid:durableId="128864331">
    <w:abstractNumId w:val="11"/>
  </w:num>
  <w:num w:numId="7" w16cid:durableId="757943504">
    <w:abstractNumId w:val="2"/>
  </w:num>
  <w:num w:numId="8" w16cid:durableId="1093480286">
    <w:abstractNumId w:val="8"/>
  </w:num>
  <w:num w:numId="9" w16cid:durableId="1460344529">
    <w:abstractNumId w:val="1"/>
  </w:num>
  <w:num w:numId="10" w16cid:durableId="1201744290">
    <w:abstractNumId w:val="10"/>
  </w:num>
  <w:num w:numId="11" w16cid:durableId="491943784">
    <w:abstractNumId w:val="4"/>
  </w:num>
  <w:num w:numId="12" w16cid:durableId="1689284457">
    <w:abstractNumId w:val="7"/>
  </w:num>
  <w:num w:numId="13" w16cid:durableId="1193614030">
    <w:abstractNumId w:val="0"/>
  </w:num>
  <w:num w:numId="14" w16cid:durableId="20676012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3"/>
    <w:rsid w:val="00004D35"/>
    <w:rsid w:val="0002021B"/>
    <w:rsid w:val="00020A06"/>
    <w:rsid w:val="0002339A"/>
    <w:rsid w:val="00025C28"/>
    <w:rsid w:val="00045C7F"/>
    <w:rsid w:val="00053C81"/>
    <w:rsid w:val="00073E9A"/>
    <w:rsid w:val="00077C22"/>
    <w:rsid w:val="00092808"/>
    <w:rsid w:val="000950AD"/>
    <w:rsid w:val="000B0917"/>
    <w:rsid w:val="000C3C51"/>
    <w:rsid w:val="000C48DE"/>
    <w:rsid w:val="000C49E5"/>
    <w:rsid w:val="000C50B5"/>
    <w:rsid w:val="000D37CE"/>
    <w:rsid w:val="000E6648"/>
    <w:rsid w:val="000F7D12"/>
    <w:rsid w:val="0010309C"/>
    <w:rsid w:val="00132E32"/>
    <w:rsid w:val="001379D5"/>
    <w:rsid w:val="00150183"/>
    <w:rsid w:val="00153CCA"/>
    <w:rsid w:val="00157C45"/>
    <w:rsid w:val="001918AE"/>
    <w:rsid w:val="001C5D02"/>
    <w:rsid w:val="001D6D6B"/>
    <w:rsid w:val="0022633B"/>
    <w:rsid w:val="0028210C"/>
    <w:rsid w:val="002823F8"/>
    <w:rsid w:val="00285040"/>
    <w:rsid w:val="002A12DE"/>
    <w:rsid w:val="002B014C"/>
    <w:rsid w:val="002D6DB9"/>
    <w:rsid w:val="002E547D"/>
    <w:rsid w:val="002F6C97"/>
    <w:rsid w:val="00326E01"/>
    <w:rsid w:val="00327B4D"/>
    <w:rsid w:val="00332D98"/>
    <w:rsid w:val="0035565B"/>
    <w:rsid w:val="003718CB"/>
    <w:rsid w:val="00375070"/>
    <w:rsid w:val="003C0748"/>
    <w:rsid w:val="003C649A"/>
    <w:rsid w:val="003E4033"/>
    <w:rsid w:val="00401AEA"/>
    <w:rsid w:val="00407424"/>
    <w:rsid w:val="0042184F"/>
    <w:rsid w:val="00424994"/>
    <w:rsid w:val="004249E1"/>
    <w:rsid w:val="004362B9"/>
    <w:rsid w:val="004433BA"/>
    <w:rsid w:val="00462A5D"/>
    <w:rsid w:val="0046657E"/>
    <w:rsid w:val="00495BD3"/>
    <w:rsid w:val="004D4284"/>
    <w:rsid w:val="004F1734"/>
    <w:rsid w:val="00500EA0"/>
    <w:rsid w:val="00502DA7"/>
    <w:rsid w:val="00514AF0"/>
    <w:rsid w:val="00551230"/>
    <w:rsid w:val="00567938"/>
    <w:rsid w:val="005945AF"/>
    <w:rsid w:val="005D691F"/>
    <w:rsid w:val="005E60C7"/>
    <w:rsid w:val="00611605"/>
    <w:rsid w:val="006140D2"/>
    <w:rsid w:val="00615580"/>
    <w:rsid w:val="006420FB"/>
    <w:rsid w:val="00645B01"/>
    <w:rsid w:val="00647D2A"/>
    <w:rsid w:val="006758E4"/>
    <w:rsid w:val="00680A48"/>
    <w:rsid w:val="006C5A8B"/>
    <w:rsid w:val="006C6E78"/>
    <w:rsid w:val="006E7988"/>
    <w:rsid w:val="00701809"/>
    <w:rsid w:val="007235A6"/>
    <w:rsid w:val="00732EE6"/>
    <w:rsid w:val="007722D3"/>
    <w:rsid w:val="007769CC"/>
    <w:rsid w:val="007A5139"/>
    <w:rsid w:val="007B6D36"/>
    <w:rsid w:val="007C2D93"/>
    <w:rsid w:val="007D405B"/>
    <w:rsid w:val="007F36EB"/>
    <w:rsid w:val="007F530F"/>
    <w:rsid w:val="0081034F"/>
    <w:rsid w:val="00815621"/>
    <w:rsid w:val="008227B0"/>
    <w:rsid w:val="00825C37"/>
    <w:rsid w:val="0084473D"/>
    <w:rsid w:val="0086205F"/>
    <w:rsid w:val="008878AA"/>
    <w:rsid w:val="008968BA"/>
    <w:rsid w:val="008B4FEF"/>
    <w:rsid w:val="008C4CFA"/>
    <w:rsid w:val="008E4569"/>
    <w:rsid w:val="0095748F"/>
    <w:rsid w:val="00975B78"/>
    <w:rsid w:val="00995E47"/>
    <w:rsid w:val="009964F5"/>
    <w:rsid w:val="009A1962"/>
    <w:rsid w:val="009A2BE8"/>
    <w:rsid w:val="009D3395"/>
    <w:rsid w:val="009D5026"/>
    <w:rsid w:val="00A0093E"/>
    <w:rsid w:val="00A04E8B"/>
    <w:rsid w:val="00A30324"/>
    <w:rsid w:val="00AB46AC"/>
    <w:rsid w:val="00AB622C"/>
    <w:rsid w:val="00AB72B6"/>
    <w:rsid w:val="00AF1B81"/>
    <w:rsid w:val="00B11469"/>
    <w:rsid w:val="00B353B0"/>
    <w:rsid w:val="00B72DBA"/>
    <w:rsid w:val="00B8212A"/>
    <w:rsid w:val="00BA0E3A"/>
    <w:rsid w:val="00BA4DCC"/>
    <w:rsid w:val="00BC53DE"/>
    <w:rsid w:val="00BE2CE2"/>
    <w:rsid w:val="00BE57C3"/>
    <w:rsid w:val="00C009F0"/>
    <w:rsid w:val="00C11A0A"/>
    <w:rsid w:val="00C13D00"/>
    <w:rsid w:val="00C17FFD"/>
    <w:rsid w:val="00C344E3"/>
    <w:rsid w:val="00C367D1"/>
    <w:rsid w:val="00C739BD"/>
    <w:rsid w:val="00C95B47"/>
    <w:rsid w:val="00CB3494"/>
    <w:rsid w:val="00CC56CB"/>
    <w:rsid w:val="00CF1956"/>
    <w:rsid w:val="00D13ED5"/>
    <w:rsid w:val="00D16503"/>
    <w:rsid w:val="00D16726"/>
    <w:rsid w:val="00D43626"/>
    <w:rsid w:val="00D72E29"/>
    <w:rsid w:val="00DA3263"/>
    <w:rsid w:val="00DD44A1"/>
    <w:rsid w:val="00DE266A"/>
    <w:rsid w:val="00DE68B3"/>
    <w:rsid w:val="00DF0CCF"/>
    <w:rsid w:val="00E05F6F"/>
    <w:rsid w:val="00E06B05"/>
    <w:rsid w:val="00E26864"/>
    <w:rsid w:val="00E63E3A"/>
    <w:rsid w:val="00E760C3"/>
    <w:rsid w:val="00E90B5D"/>
    <w:rsid w:val="00E91786"/>
    <w:rsid w:val="00EC2599"/>
    <w:rsid w:val="00EC5327"/>
    <w:rsid w:val="00EE1444"/>
    <w:rsid w:val="00EE261F"/>
    <w:rsid w:val="00EE28A2"/>
    <w:rsid w:val="00F00A67"/>
    <w:rsid w:val="00F17FF0"/>
    <w:rsid w:val="00F3152D"/>
    <w:rsid w:val="00F410D4"/>
    <w:rsid w:val="00F5163C"/>
    <w:rsid w:val="00F54D99"/>
    <w:rsid w:val="00F5672D"/>
    <w:rsid w:val="00F845AB"/>
    <w:rsid w:val="00FA7565"/>
    <w:rsid w:val="00FB16AA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39D6"/>
  <w15:docId w15:val="{2231E2BD-032B-4645-B35B-C08C1C4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905" w:right="9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5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8E23E-D678-475F-AD61-E5D6A71D59B0}"/>
</file>

<file path=customXml/itemProps2.xml><?xml version="1.0" encoding="utf-8"?>
<ds:datastoreItem xmlns:ds="http://schemas.openxmlformats.org/officeDocument/2006/customXml" ds:itemID="{8679699D-CC79-4C03-9D51-ABCA8A0D9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5</cp:revision>
  <dcterms:created xsi:type="dcterms:W3CDTF">2023-04-20T21:41:00Z</dcterms:created>
  <dcterms:modified xsi:type="dcterms:W3CDTF">2023-09-14T10:35:00Z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3,4,5,6,7,8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2023-04-20T15:59:13Z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556ad407-11e2-4da8-829e-661489300bc2</vt:lpwstr>
  </property>
  <property fmtid="{D5CDD505-2E9C-101B-9397-08002B2CF9AE}" pid="14" name="MSIP_Label_7b8a2b0d-81fd-4360-8a37-1ea1f950866b_ContentBits">
    <vt:lpwstr>2</vt:lpwstr>
  </property>
</Properties>
</file>