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F5CF" w14:textId="77777777" w:rsidR="00DD607B" w:rsidRDefault="00DD607B" w:rsidP="00DD607B">
      <w:pPr>
        <w:ind w:right="787"/>
        <w:jc w:val="right"/>
      </w:pPr>
      <w:r>
        <w:rPr>
          <w:noProof/>
        </w:rPr>
        <w:drawing>
          <wp:anchor distT="0" distB="0" distL="114300" distR="114300" simplePos="0" relativeHeight="251659264" behindDoc="0" locked="0" layoutInCell="1" allowOverlap="1" wp14:anchorId="64953B3F" wp14:editId="4C0EC890">
            <wp:simplePos x="0" y="0"/>
            <wp:positionH relativeFrom="margin">
              <wp:align>left</wp:align>
            </wp:positionH>
            <wp:positionV relativeFrom="paragraph">
              <wp:posOffset>0</wp:posOffset>
            </wp:positionV>
            <wp:extent cx="1644650" cy="1040130"/>
            <wp:effectExtent l="0" t="0" r="0" b="7620"/>
            <wp:wrapSquare wrapText="bothSides"/>
            <wp:docPr id="1299180304"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5A8DBE78" w14:textId="77777777" w:rsidR="00DD607B" w:rsidRDefault="00DD607B" w:rsidP="00DD607B">
      <w:pPr>
        <w:ind w:right="787"/>
        <w:jc w:val="right"/>
        <w:rPr>
          <w:b/>
          <w:bCs/>
        </w:rPr>
      </w:pPr>
      <w:r>
        <w:t>6</w:t>
      </w:r>
      <w:r>
        <w:rPr>
          <w:vertAlign w:val="superscript"/>
        </w:rPr>
        <w:t>th</w:t>
      </w:r>
      <w:r>
        <w:t xml:space="preserve"> Floor</w:t>
      </w:r>
    </w:p>
    <w:p w14:paraId="0AD0EB3F" w14:textId="77777777" w:rsidR="00DD607B" w:rsidRDefault="00DD607B" w:rsidP="00DD607B">
      <w:pPr>
        <w:ind w:right="787"/>
        <w:jc w:val="right"/>
        <w:rPr>
          <w:b/>
          <w:bCs/>
        </w:rPr>
      </w:pPr>
      <w:r>
        <w:t>9 Appold Street</w:t>
      </w:r>
    </w:p>
    <w:p w14:paraId="0BDD87B6" w14:textId="77777777" w:rsidR="00DD607B" w:rsidRDefault="00DD607B" w:rsidP="00DD607B">
      <w:pPr>
        <w:ind w:right="787"/>
        <w:jc w:val="right"/>
        <w:rPr>
          <w:b/>
          <w:bCs/>
        </w:rPr>
      </w:pPr>
      <w:r>
        <w:t>London</w:t>
      </w:r>
    </w:p>
    <w:p w14:paraId="4CAC10F5" w14:textId="77777777" w:rsidR="00DD607B" w:rsidRDefault="00DD607B" w:rsidP="00DD607B">
      <w:pPr>
        <w:ind w:right="787"/>
        <w:jc w:val="right"/>
      </w:pPr>
      <w:r>
        <w:t>EC2A 2AP</w:t>
      </w:r>
    </w:p>
    <w:p w14:paraId="0013578E" w14:textId="77777777" w:rsidR="00DD607B" w:rsidRDefault="00DD607B" w:rsidP="00DD607B">
      <w:pPr>
        <w:ind w:right="787"/>
        <w:jc w:val="right"/>
        <w:rPr>
          <w:b/>
          <w:bCs/>
        </w:rPr>
      </w:pPr>
      <w:r>
        <w:t>T: +44 (0) 20 7247 1452</w:t>
      </w:r>
    </w:p>
    <w:p w14:paraId="0112A02E" w14:textId="77777777" w:rsidR="00DD607B" w:rsidRDefault="00DD607B" w:rsidP="00DD607B">
      <w:pPr>
        <w:ind w:right="787"/>
        <w:jc w:val="right"/>
        <w:rPr>
          <w:b/>
          <w:bCs/>
        </w:rPr>
      </w:pPr>
      <w:r>
        <w:t>W: www.pensions-pmi.org.uk</w:t>
      </w:r>
    </w:p>
    <w:p w14:paraId="4297C407" w14:textId="77777777" w:rsidR="00DD607B" w:rsidRPr="0016161C" w:rsidRDefault="00DD607B" w:rsidP="00DD607B">
      <w:pPr>
        <w:pStyle w:val="Header"/>
      </w:pPr>
    </w:p>
    <w:p w14:paraId="53481454" w14:textId="77777777" w:rsidR="00DD607B" w:rsidRDefault="00DD607B" w:rsidP="00DD607B">
      <w:pPr>
        <w:pStyle w:val="BodyText"/>
        <w:rPr>
          <w:rFonts w:ascii="Times New Roman"/>
          <w:sz w:val="20"/>
        </w:rPr>
      </w:pPr>
    </w:p>
    <w:p w14:paraId="0F40CA3D" w14:textId="77777777" w:rsidR="00DD607B" w:rsidRDefault="00DD607B" w:rsidP="00DD607B">
      <w:pPr>
        <w:pStyle w:val="BodyText"/>
        <w:spacing w:before="3"/>
        <w:rPr>
          <w:rFonts w:ascii="Times New Roman"/>
          <w:sz w:val="23"/>
        </w:rPr>
      </w:pPr>
    </w:p>
    <w:p w14:paraId="439B32F8" w14:textId="77777777" w:rsidR="00DD607B" w:rsidRDefault="00DD607B" w:rsidP="00DD607B">
      <w:pPr>
        <w:pStyle w:val="Heading1"/>
      </w:pPr>
      <w:r>
        <w:t>Core Unit 1B -Foundation in International Employee Benefits</w:t>
      </w:r>
    </w:p>
    <w:p w14:paraId="33FF1F66" w14:textId="77777777" w:rsidR="00DD607B" w:rsidRDefault="00DD607B" w:rsidP="00DD607B">
      <w:pPr>
        <w:spacing w:before="318"/>
        <w:ind w:left="1054" w:right="2649"/>
        <w:jc w:val="center"/>
        <w:rPr>
          <w:sz w:val="28"/>
        </w:rPr>
      </w:pPr>
      <w:r>
        <w:rPr>
          <w:sz w:val="28"/>
        </w:rPr>
        <w:t>Assignment 4</w:t>
      </w:r>
    </w:p>
    <w:p w14:paraId="5D645495" w14:textId="77777777" w:rsidR="00DD607B" w:rsidRDefault="00DD607B" w:rsidP="00DD607B">
      <w:pPr>
        <w:pStyle w:val="BodyText"/>
        <w:spacing w:before="49"/>
        <w:ind w:left="1054" w:right="2612"/>
        <w:jc w:val="center"/>
      </w:pPr>
      <w:r>
        <w:t>(Part 12 The European Union)</w:t>
      </w:r>
    </w:p>
    <w:p w14:paraId="6D0DD1BC" w14:textId="77777777" w:rsidR="00DD607B" w:rsidRDefault="00DD607B" w:rsidP="00DD607B">
      <w:pPr>
        <w:pStyle w:val="BodyText"/>
        <w:spacing w:before="1"/>
        <w:rPr>
          <w:sz w:val="22"/>
        </w:rPr>
      </w:pPr>
    </w:p>
    <w:p w14:paraId="463411EE" w14:textId="02B4B986" w:rsidR="00DD607B" w:rsidRDefault="00DD607B" w:rsidP="00DD607B">
      <w:pPr>
        <w:ind w:left="1030" w:right="2654"/>
        <w:jc w:val="center"/>
        <w:rPr>
          <w:i/>
          <w:sz w:val="16"/>
        </w:rPr>
      </w:pPr>
      <w:r>
        <w:rPr>
          <w:i/>
          <w:sz w:val="16"/>
        </w:rPr>
        <w:t xml:space="preserve">Recommended Time: </w:t>
      </w:r>
      <w:r w:rsidR="0085011F">
        <w:rPr>
          <w:i/>
          <w:sz w:val="16"/>
        </w:rPr>
        <w:t>2</w:t>
      </w:r>
      <w:r>
        <w:rPr>
          <w:i/>
          <w:sz w:val="16"/>
        </w:rPr>
        <w:t xml:space="preserve"> Hour</w:t>
      </w:r>
    </w:p>
    <w:p w14:paraId="56A0C262" w14:textId="77777777" w:rsidR="00DD607B" w:rsidRDefault="00DD607B" w:rsidP="00DD607B">
      <w:pPr>
        <w:pStyle w:val="BodyText"/>
        <w:rPr>
          <w:i/>
          <w:sz w:val="16"/>
        </w:rPr>
      </w:pPr>
    </w:p>
    <w:p w14:paraId="704E0B28" w14:textId="77777777" w:rsidR="00DD607B" w:rsidRDefault="00DD607B" w:rsidP="00DD607B">
      <w:pPr>
        <w:pStyle w:val="BodyText"/>
        <w:spacing w:before="4"/>
        <w:rPr>
          <w:i/>
          <w:sz w:val="22"/>
        </w:rPr>
      </w:pPr>
    </w:p>
    <w:p w14:paraId="7D0EEA66" w14:textId="77777777" w:rsidR="00DD607B" w:rsidRPr="00DD607B" w:rsidRDefault="00DD607B" w:rsidP="00DD607B">
      <w:pPr>
        <w:pStyle w:val="ListParagraph"/>
        <w:numPr>
          <w:ilvl w:val="0"/>
          <w:numId w:val="1"/>
        </w:numPr>
        <w:tabs>
          <w:tab w:val="left" w:pos="460"/>
          <w:tab w:val="left" w:pos="461"/>
        </w:tabs>
        <w:ind w:right="361" w:hanging="361"/>
        <w:rPr>
          <w:b/>
          <w:bCs/>
        </w:rPr>
      </w:pPr>
      <w:r w:rsidRPr="00DD607B">
        <w:rPr>
          <w:b/>
          <w:bCs/>
        </w:rPr>
        <w:t>You have recently started a job with the European Union (EU).  Over dinner one night, your friends ask you to explain how the EU operates.  Identify and briefly describe the functions of the principal bodies of the EU in response to your friends’ questions.</w:t>
      </w:r>
    </w:p>
    <w:p w14:paraId="40434869" w14:textId="77777777" w:rsidR="00DD607B" w:rsidRPr="00DD607B" w:rsidRDefault="00DD607B" w:rsidP="00DD607B">
      <w:pPr>
        <w:pStyle w:val="BodyText"/>
        <w:spacing w:before="7"/>
        <w:rPr>
          <w:sz w:val="22"/>
          <w:szCs w:val="22"/>
        </w:rPr>
      </w:pPr>
    </w:p>
    <w:p w14:paraId="703DB9A3" w14:textId="77777777" w:rsidR="00DD607B" w:rsidRPr="00DD607B" w:rsidRDefault="00DD607B" w:rsidP="00DD607B">
      <w:pPr>
        <w:pStyle w:val="Heading2"/>
        <w:spacing w:before="64"/>
        <w:ind w:right="219"/>
        <w:rPr>
          <w:sz w:val="22"/>
          <w:szCs w:val="22"/>
        </w:rPr>
      </w:pPr>
      <w:r w:rsidRPr="00DD607B">
        <w:rPr>
          <w:sz w:val="22"/>
          <w:szCs w:val="22"/>
        </w:rPr>
        <w:t>20 marks</w:t>
      </w:r>
    </w:p>
    <w:p w14:paraId="0B0785B9" w14:textId="77777777" w:rsidR="00DD607B" w:rsidRPr="00DD607B" w:rsidRDefault="00DD607B" w:rsidP="00DD607B">
      <w:pPr>
        <w:pStyle w:val="BodyText"/>
        <w:rPr>
          <w:b/>
          <w:sz w:val="22"/>
          <w:szCs w:val="22"/>
        </w:rPr>
      </w:pPr>
    </w:p>
    <w:p w14:paraId="6B0C6428" w14:textId="77777777" w:rsidR="00DD607B" w:rsidRPr="00DD607B" w:rsidRDefault="00DD607B" w:rsidP="00DD607B">
      <w:pPr>
        <w:pStyle w:val="BodyText"/>
        <w:spacing w:before="35"/>
        <w:ind w:left="527"/>
        <w:rPr>
          <w:sz w:val="22"/>
          <w:szCs w:val="22"/>
        </w:rPr>
      </w:pPr>
      <w:r w:rsidRPr="00DD607B">
        <w:rPr>
          <w:sz w:val="22"/>
          <w:szCs w:val="22"/>
        </w:rPr>
        <w:t>Answer should cover:</w:t>
      </w:r>
    </w:p>
    <w:p w14:paraId="556B3E6D" w14:textId="77777777" w:rsidR="00DD607B" w:rsidRPr="00DD607B" w:rsidRDefault="00DD607B" w:rsidP="00DD607B">
      <w:pPr>
        <w:pStyle w:val="BodyText"/>
        <w:spacing w:before="12"/>
        <w:rPr>
          <w:sz w:val="22"/>
          <w:szCs w:val="22"/>
        </w:rPr>
      </w:pPr>
    </w:p>
    <w:p w14:paraId="0E46CB05" w14:textId="77777777" w:rsidR="00DD607B" w:rsidRPr="00DD607B" w:rsidRDefault="00DD607B" w:rsidP="00DD607B">
      <w:pPr>
        <w:pStyle w:val="BodyText"/>
        <w:ind w:left="527"/>
        <w:rPr>
          <w:sz w:val="22"/>
          <w:szCs w:val="22"/>
        </w:rPr>
      </w:pPr>
      <w:r w:rsidRPr="00DD607B">
        <w:rPr>
          <w:sz w:val="22"/>
          <w:szCs w:val="22"/>
        </w:rPr>
        <w:t>Five principal bodies include:</w:t>
      </w:r>
    </w:p>
    <w:p w14:paraId="4CE7361D" w14:textId="77777777" w:rsidR="00DD607B" w:rsidRPr="00DD607B" w:rsidRDefault="00DD607B" w:rsidP="00DD607B">
      <w:pPr>
        <w:pStyle w:val="BodyText"/>
        <w:spacing w:before="12"/>
        <w:rPr>
          <w:sz w:val="22"/>
          <w:szCs w:val="22"/>
        </w:rPr>
      </w:pPr>
    </w:p>
    <w:p w14:paraId="5D13D252" w14:textId="77777777" w:rsidR="00DD607B" w:rsidRPr="00DD607B" w:rsidRDefault="00DD607B" w:rsidP="00DD607B">
      <w:pPr>
        <w:pStyle w:val="ListParagraph"/>
        <w:numPr>
          <w:ilvl w:val="1"/>
          <w:numId w:val="2"/>
        </w:numPr>
        <w:tabs>
          <w:tab w:val="left" w:pos="820"/>
          <w:tab w:val="left" w:pos="821"/>
        </w:tabs>
        <w:ind w:hanging="294"/>
      </w:pPr>
      <w:r w:rsidRPr="00DD607B">
        <w:t>European</w:t>
      </w:r>
      <w:r w:rsidRPr="00DD607B">
        <w:rPr>
          <w:spacing w:val="-2"/>
        </w:rPr>
        <w:t xml:space="preserve"> </w:t>
      </w:r>
      <w:r w:rsidRPr="00DD607B">
        <w:t xml:space="preserve">Commission-the Civil Service of the EU. It has exclusive power to initiate EU legislation and is responsible for the day-to -day running of the EU. The governments of the Member States appoint the Commissioners. </w:t>
      </w:r>
    </w:p>
    <w:p w14:paraId="5C78812F" w14:textId="77777777" w:rsidR="00DD607B" w:rsidRPr="00DD607B" w:rsidRDefault="00DD607B" w:rsidP="00DD607B">
      <w:pPr>
        <w:pStyle w:val="ListParagraph"/>
        <w:numPr>
          <w:ilvl w:val="1"/>
          <w:numId w:val="2"/>
        </w:numPr>
        <w:tabs>
          <w:tab w:val="left" w:pos="820"/>
          <w:tab w:val="left" w:pos="821"/>
        </w:tabs>
        <w:spacing w:before="1" w:line="229" w:lineRule="exact"/>
        <w:ind w:hanging="294"/>
      </w:pPr>
      <w:r w:rsidRPr="00DD607B">
        <w:t>European Council of</w:t>
      </w:r>
      <w:r w:rsidRPr="00DD607B">
        <w:rPr>
          <w:spacing w:val="-4"/>
        </w:rPr>
        <w:t xml:space="preserve"> </w:t>
      </w:r>
      <w:r w:rsidRPr="00DD607B">
        <w:t>Ministers- the body that must approve and adopt the Directives and Regulations for them to come into force. It consists of appropriate Ministers from the Government of each Member-State.</w:t>
      </w:r>
    </w:p>
    <w:p w14:paraId="1600C969" w14:textId="77777777" w:rsidR="00DD607B" w:rsidRPr="00DD607B" w:rsidRDefault="00DD607B" w:rsidP="00DD607B">
      <w:pPr>
        <w:pStyle w:val="ListParagraph"/>
        <w:numPr>
          <w:ilvl w:val="1"/>
          <w:numId w:val="2"/>
        </w:numPr>
        <w:tabs>
          <w:tab w:val="left" w:pos="820"/>
          <w:tab w:val="left" w:pos="821"/>
        </w:tabs>
        <w:spacing w:line="229" w:lineRule="exact"/>
        <w:ind w:hanging="294"/>
      </w:pPr>
      <w:r w:rsidRPr="00DD607B">
        <w:t>European</w:t>
      </w:r>
      <w:r w:rsidRPr="00DD607B">
        <w:rPr>
          <w:spacing w:val="-2"/>
        </w:rPr>
        <w:t xml:space="preserve"> </w:t>
      </w:r>
      <w:r w:rsidRPr="00DD607B">
        <w:t>Parliament-has powers to review and recommend amendments to proposed EU legislation as well as on the implementation of Treaties between the EU and other countries.</w:t>
      </w:r>
    </w:p>
    <w:p w14:paraId="373B72BF" w14:textId="77777777" w:rsidR="00DD607B" w:rsidRPr="00DD607B" w:rsidRDefault="00DD607B" w:rsidP="00DD607B">
      <w:pPr>
        <w:pStyle w:val="ListParagraph"/>
        <w:numPr>
          <w:ilvl w:val="1"/>
          <w:numId w:val="2"/>
        </w:numPr>
        <w:tabs>
          <w:tab w:val="left" w:pos="820"/>
          <w:tab w:val="left" w:pos="821"/>
        </w:tabs>
        <w:spacing w:before="1" w:line="229" w:lineRule="exact"/>
        <w:ind w:hanging="294"/>
      </w:pPr>
      <w:r w:rsidRPr="00DD607B">
        <w:t>Directorate</w:t>
      </w:r>
      <w:r w:rsidRPr="00DD607B">
        <w:rPr>
          <w:spacing w:val="-2"/>
        </w:rPr>
        <w:t xml:space="preserve"> </w:t>
      </w:r>
      <w:r w:rsidRPr="00DD607B">
        <w:t>General- the equivalent of government departments or ministries and are responsible for specific areas of policy within the Commission</w:t>
      </w:r>
    </w:p>
    <w:p w14:paraId="7EADECAA" w14:textId="77777777" w:rsidR="00DD607B" w:rsidRPr="00DD607B" w:rsidRDefault="00DD607B" w:rsidP="00DD607B">
      <w:pPr>
        <w:pStyle w:val="ListParagraph"/>
        <w:numPr>
          <w:ilvl w:val="1"/>
          <w:numId w:val="2"/>
        </w:numPr>
        <w:tabs>
          <w:tab w:val="left" w:pos="820"/>
          <w:tab w:val="left" w:pos="821"/>
        </w:tabs>
        <w:spacing w:line="229" w:lineRule="exact"/>
        <w:ind w:hanging="294"/>
      </w:pPr>
      <w:r w:rsidRPr="00DD607B">
        <w:t xml:space="preserve">The Court of Justice of the European Union – decides matters that depend on an interpretation of European Community law. </w:t>
      </w:r>
    </w:p>
    <w:p w14:paraId="715D2972" w14:textId="77777777" w:rsidR="00DD607B" w:rsidRPr="00DD607B" w:rsidRDefault="00DD607B" w:rsidP="00DD607B">
      <w:pPr>
        <w:pStyle w:val="BodyText"/>
        <w:spacing w:before="10"/>
        <w:rPr>
          <w:sz w:val="22"/>
          <w:szCs w:val="22"/>
        </w:rPr>
      </w:pPr>
    </w:p>
    <w:p w14:paraId="1E0BE5A4" w14:textId="77777777" w:rsidR="00DD607B" w:rsidRPr="00DD607B" w:rsidRDefault="00DD607B" w:rsidP="00DD607B">
      <w:pPr>
        <w:pStyle w:val="BodyText"/>
        <w:spacing w:before="63"/>
        <w:ind w:left="527" w:right="599"/>
        <w:rPr>
          <w:sz w:val="22"/>
          <w:szCs w:val="22"/>
        </w:rPr>
      </w:pPr>
      <w:r w:rsidRPr="00DD607B">
        <w:rPr>
          <w:sz w:val="22"/>
          <w:szCs w:val="22"/>
        </w:rPr>
        <w:t>This question requires a brief description of the bodies that have been identified and the marks are broadly equally split between all of them.</w:t>
      </w:r>
    </w:p>
    <w:p w14:paraId="4975755B" w14:textId="77777777" w:rsidR="00DD607B" w:rsidRPr="00DD607B" w:rsidRDefault="00DD607B" w:rsidP="00DD607B">
      <w:pPr>
        <w:pStyle w:val="BodyText"/>
        <w:spacing w:before="1"/>
        <w:rPr>
          <w:sz w:val="22"/>
          <w:szCs w:val="22"/>
        </w:rPr>
      </w:pPr>
    </w:p>
    <w:p w14:paraId="3A24076A" w14:textId="77777777" w:rsidR="00DD607B" w:rsidRPr="00DD607B" w:rsidRDefault="00DD607B" w:rsidP="00DD607B">
      <w:pPr>
        <w:pStyle w:val="BodyText"/>
        <w:ind w:left="527"/>
        <w:rPr>
          <w:sz w:val="22"/>
          <w:szCs w:val="22"/>
        </w:rPr>
      </w:pPr>
      <w:r w:rsidRPr="00DD607B">
        <w:rPr>
          <w:sz w:val="22"/>
          <w:szCs w:val="22"/>
        </w:rPr>
        <w:t>(Relevant section is Part 12, Chapter 1.2)</w:t>
      </w:r>
    </w:p>
    <w:p w14:paraId="3AA1C613" w14:textId="77777777" w:rsidR="00DD607B" w:rsidRPr="00DD607B" w:rsidRDefault="00DD607B" w:rsidP="00DD607B">
      <w:pPr>
        <w:pStyle w:val="BodyText"/>
        <w:rPr>
          <w:b/>
          <w:sz w:val="22"/>
          <w:szCs w:val="22"/>
        </w:rPr>
      </w:pPr>
    </w:p>
    <w:p w14:paraId="4EE835AC" w14:textId="77777777" w:rsidR="00DD607B" w:rsidRPr="00DD607B" w:rsidRDefault="00DD607B" w:rsidP="00DD607B">
      <w:pPr>
        <w:pStyle w:val="BodyText"/>
        <w:rPr>
          <w:b/>
          <w:sz w:val="22"/>
          <w:szCs w:val="22"/>
        </w:rPr>
      </w:pPr>
    </w:p>
    <w:p w14:paraId="207C9409" w14:textId="77777777" w:rsidR="00DD607B" w:rsidRPr="00DD607B" w:rsidRDefault="00DD607B" w:rsidP="00DD607B">
      <w:pPr>
        <w:pStyle w:val="BodyText"/>
        <w:rPr>
          <w:b/>
          <w:sz w:val="22"/>
          <w:szCs w:val="22"/>
        </w:rPr>
      </w:pPr>
    </w:p>
    <w:p w14:paraId="6F9B18F7" w14:textId="77777777" w:rsidR="00DD607B" w:rsidRPr="00DD607B" w:rsidRDefault="00DD607B" w:rsidP="00DD607B">
      <w:pPr>
        <w:pStyle w:val="BodyText"/>
        <w:rPr>
          <w:b/>
          <w:sz w:val="22"/>
          <w:szCs w:val="22"/>
        </w:rPr>
      </w:pPr>
    </w:p>
    <w:p w14:paraId="707FA643" w14:textId="77777777" w:rsidR="00DD607B" w:rsidRPr="00DD607B" w:rsidRDefault="00DD607B" w:rsidP="00DD607B">
      <w:pPr>
        <w:pStyle w:val="BodyText"/>
        <w:rPr>
          <w:b/>
          <w:sz w:val="22"/>
          <w:szCs w:val="22"/>
        </w:rPr>
      </w:pPr>
    </w:p>
    <w:p w14:paraId="4611E8DE" w14:textId="77777777" w:rsidR="00DD607B" w:rsidRPr="00DD607B" w:rsidRDefault="00DD607B" w:rsidP="00DD607B">
      <w:pPr>
        <w:pStyle w:val="BodyText"/>
        <w:rPr>
          <w:b/>
          <w:sz w:val="22"/>
          <w:szCs w:val="22"/>
        </w:rPr>
      </w:pPr>
    </w:p>
    <w:p w14:paraId="25EB2F42" w14:textId="77777777" w:rsidR="00DD607B" w:rsidRPr="00DD607B" w:rsidRDefault="00DD607B" w:rsidP="00DD607B">
      <w:pPr>
        <w:pStyle w:val="BodyText"/>
        <w:rPr>
          <w:b/>
          <w:sz w:val="22"/>
          <w:szCs w:val="22"/>
        </w:rPr>
      </w:pPr>
    </w:p>
    <w:p w14:paraId="49620469" w14:textId="77777777" w:rsidR="00DD607B" w:rsidRPr="00DD607B" w:rsidRDefault="00DD607B" w:rsidP="00DD607B">
      <w:pPr>
        <w:pStyle w:val="BodyText"/>
        <w:rPr>
          <w:b/>
          <w:sz w:val="22"/>
          <w:szCs w:val="22"/>
        </w:rPr>
      </w:pPr>
    </w:p>
    <w:p w14:paraId="2956DD53" w14:textId="77777777" w:rsidR="00DD607B" w:rsidRPr="00DD607B" w:rsidRDefault="00DD607B" w:rsidP="00DD607B">
      <w:pPr>
        <w:pStyle w:val="BodyText"/>
        <w:rPr>
          <w:b/>
          <w:sz w:val="22"/>
          <w:szCs w:val="22"/>
        </w:rPr>
      </w:pPr>
    </w:p>
    <w:p w14:paraId="2B16C8A8" w14:textId="77777777" w:rsidR="00DD607B" w:rsidRPr="00DD607B" w:rsidRDefault="00DD607B" w:rsidP="00DD607B">
      <w:pPr>
        <w:pStyle w:val="BodyText"/>
        <w:rPr>
          <w:b/>
          <w:sz w:val="22"/>
          <w:szCs w:val="22"/>
        </w:rPr>
      </w:pPr>
    </w:p>
    <w:p w14:paraId="7A7BFD8B" w14:textId="77777777" w:rsidR="00DD607B" w:rsidRPr="00DD607B" w:rsidRDefault="00DD607B" w:rsidP="00DD607B">
      <w:pPr>
        <w:pStyle w:val="BodyText"/>
        <w:rPr>
          <w:b/>
          <w:sz w:val="22"/>
          <w:szCs w:val="22"/>
        </w:rPr>
      </w:pPr>
    </w:p>
    <w:p w14:paraId="741D8CFF" w14:textId="77777777" w:rsidR="00DD607B" w:rsidRPr="00DD607B" w:rsidRDefault="00DD607B" w:rsidP="00DD607B">
      <w:pPr>
        <w:pStyle w:val="BodyText"/>
        <w:rPr>
          <w:b/>
          <w:sz w:val="22"/>
          <w:szCs w:val="22"/>
        </w:rPr>
      </w:pPr>
    </w:p>
    <w:p w14:paraId="03A02A49" w14:textId="77777777" w:rsidR="00DD607B" w:rsidRPr="00DD607B" w:rsidRDefault="00DD607B" w:rsidP="00DD607B">
      <w:pPr>
        <w:pStyle w:val="BodyText"/>
        <w:rPr>
          <w:b/>
          <w:sz w:val="22"/>
          <w:szCs w:val="22"/>
        </w:rPr>
      </w:pPr>
    </w:p>
    <w:p w14:paraId="773C0207" w14:textId="77777777" w:rsidR="00DD607B" w:rsidRPr="00DD607B" w:rsidRDefault="00DD607B" w:rsidP="00DD607B">
      <w:pPr>
        <w:pStyle w:val="ListParagraph"/>
        <w:numPr>
          <w:ilvl w:val="0"/>
          <w:numId w:val="1"/>
        </w:numPr>
        <w:tabs>
          <w:tab w:val="left" w:pos="527"/>
          <w:tab w:val="left" w:pos="528"/>
        </w:tabs>
        <w:ind w:left="527" w:hanging="428"/>
        <w:rPr>
          <w:b/>
          <w:bCs/>
        </w:rPr>
      </w:pPr>
      <w:r w:rsidRPr="00DD607B">
        <w:rPr>
          <w:b/>
          <w:bCs/>
        </w:rPr>
        <w:t>Explain how the EU has impacted pensions legislation in member</w:t>
      </w:r>
      <w:r w:rsidRPr="00DD607B">
        <w:rPr>
          <w:b/>
          <w:bCs/>
          <w:spacing w:val="-7"/>
        </w:rPr>
        <w:t xml:space="preserve"> </w:t>
      </w:r>
      <w:r w:rsidRPr="00DD607B">
        <w:rPr>
          <w:b/>
          <w:bCs/>
        </w:rPr>
        <w:t>states.</w:t>
      </w:r>
    </w:p>
    <w:p w14:paraId="5426BECD" w14:textId="77777777" w:rsidR="00DD607B" w:rsidRPr="00DD607B" w:rsidRDefault="00DD607B" w:rsidP="00DD607B">
      <w:pPr>
        <w:pStyle w:val="BodyText"/>
        <w:rPr>
          <w:b/>
          <w:bCs/>
          <w:sz w:val="22"/>
          <w:szCs w:val="22"/>
        </w:rPr>
      </w:pPr>
    </w:p>
    <w:p w14:paraId="6D72ACD7" w14:textId="77777777" w:rsidR="00DD607B" w:rsidRPr="00DD607B" w:rsidRDefault="00DD607B" w:rsidP="00DD607B">
      <w:pPr>
        <w:pStyle w:val="BodyText"/>
        <w:spacing w:before="11"/>
        <w:rPr>
          <w:b/>
          <w:bCs/>
          <w:sz w:val="22"/>
          <w:szCs w:val="22"/>
        </w:rPr>
      </w:pPr>
    </w:p>
    <w:p w14:paraId="635DA34C" w14:textId="77777777" w:rsidR="00DD607B" w:rsidRPr="00DD607B" w:rsidRDefault="00DD607B" w:rsidP="00DD607B">
      <w:pPr>
        <w:pStyle w:val="Heading2"/>
        <w:ind w:right="219"/>
        <w:rPr>
          <w:sz w:val="22"/>
          <w:szCs w:val="22"/>
        </w:rPr>
      </w:pPr>
      <w:r w:rsidRPr="00DD607B">
        <w:rPr>
          <w:sz w:val="22"/>
          <w:szCs w:val="22"/>
        </w:rPr>
        <w:t>20 marks</w:t>
      </w:r>
    </w:p>
    <w:p w14:paraId="1A4E89BB" w14:textId="77777777" w:rsidR="00DD607B" w:rsidRPr="00DD607B" w:rsidRDefault="00DD607B" w:rsidP="00DD607B">
      <w:pPr>
        <w:pStyle w:val="BodyText"/>
        <w:spacing w:before="9"/>
        <w:rPr>
          <w:b/>
          <w:bCs/>
          <w:sz w:val="22"/>
          <w:szCs w:val="22"/>
        </w:rPr>
      </w:pPr>
    </w:p>
    <w:p w14:paraId="73CF686E" w14:textId="77777777" w:rsidR="00DD607B" w:rsidRPr="00DD607B" w:rsidRDefault="00DD607B" w:rsidP="00DD607B">
      <w:pPr>
        <w:pStyle w:val="BodyText"/>
        <w:spacing w:before="34"/>
        <w:ind w:left="527"/>
        <w:rPr>
          <w:sz w:val="22"/>
          <w:szCs w:val="22"/>
        </w:rPr>
      </w:pPr>
      <w:r w:rsidRPr="00DD607B">
        <w:rPr>
          <w:sz w:val="22"/>
          <w:szCs w:val="22"/>
        </w:rPr>
        <w:t>Answer should cover:</w:t>
      </w:r>
    </w:p>
    <w:p w14:paraId="76E6419D" w14:textId="77777777" w:rsidR="00DD607B" w:rsidRPr="00DD607B" w:rsidRDefault="00DD607B" w:rsidP="00DD607B">
      <w:pPr>
        <w:pStyle w:val="BodyText"/>
        <w:rPr>
          <w:sz w:val="22"/>
          <w:szCs w:val="22"/>
        </w:rPr>
      </w:pPr>
    </w:p>
    <w:p w14:paraId="7A701566" w14:textId="77777777" w:rsidR="00DD607B" w:rsidRPr="00DD607B" w:rsidRDefault="00DD607B" w:rsidP="00DD607B">
      <w:pPr>
        <w:pStyle w:val="BodyText"/>
        <w:spacing w:before="11"/>
        <w:rPr>
          <w:sz w:val="22"/>
          <w:szCs w:val="22"/>
        </w:rPr>
      </w:pPr>
    </w:p>
    <w:p w14:paraId="38F1E384" w14:textId="77777777" w:rsidR="00DD607B" w:rsidRPr="00DD607B" w:rsidRDefault="00DD607B" w:rsidP="00DD607B">
      <w:pPr>
        <w:pStyle w:val="NoSpacing"/>
        <w:ind w:left="567"/>
      </w:pPr>
      <w:r w:rsidRPr="00DD607B">
        <w:t>Examples are:</w:t>
      </w:r>
    </w:p>
    <w:p w14:paraId="32B2035D" w14:textId="77777777" w:rsidR="00DD607B" w:rsidRPr="00DD607B" w:rsidRDefault="00DD607B" w:rsidP="00DD607B">
      <w:pPr>
        <w:pStyle w:val="NoSpacing"/>
        <w:ind w:left="567"/>
      </w:pPr>
    </w:p>
    <w:p w14:paraId="7237DA67" w14:textId="77777777" w:rsidR="00DD607B" w:rsidRPr="00DD607B" w:rsidRDefault="00DD607B" w:rsidP="00DD607B">
      <w:pPr>
        <w:pStyle w:val="NoSpacing"/>
        <w:numPr>
          <w:ilvl w:val="0"/>
          <w:numId w:val="5"/>
        </w:numPr>
      </w:pPr>
      <w:r w:rsidRPr="00DD607B">
        <w:t>Court rulings, for example rulings on the Barber</w:t>
      </w:r>
      <w:r w:rsidRPr="00DD607B">
        <w:rPr>
          <w:spacing w:val="-7"/>
        </w:rPr>
        <w:t xml:space="preserve"> and Test Achats </w:t>
      </w:r>
      <w:r w:rsidRPr="00DD607B">
        <w:t>cases</w:t>
      </w:r>
    </w:p>
    <w:p w14:paraId="63C29687" w14:textId="77777777" w:rsidR="00DD607B" w:rsidRPr="00DD607B" w:rsidRDefault="00DD607B" w:rsidP="00DD607B">
      <w:pPr>
        <w:pStyle w:val="NoSpacing"/>
        <w:numPr>
          <w:ilvl w:val="0"/>
          <w:numId w:val="5"/>
        </w:numPr>
      </w:pPr>
      <w:r w:rsidRPr="00DD607B">
        <w:t xml:space="preserve">Direct legislation, for example through the Pensions Directive, protecting workers rights, enable funds to take advantage of the Single Market and the Euro to improve their investment strategies, guarantees a level playing field between all providers of occupational pension services and allows for the mutual recognition of prudential regimes between Member States and paves the way toward forms of cross-border pension provision </w:t>
      </w:r>
    </w:p>
    <w:p w14:paraId="3B15B5A6" w14:textId="77777777" w:rsidR="00DD607B" w:rsidRPr="00DD607B" w:rsidRDefault="00DD607B" w:rsidP="00DD607B">
      <w:pPr>
        <w:pStyle w:val="NoSpacing"/>
        <w:numPr>
          <w:ilvl w:val="0"/>
          <w:numId w:val="5"/>
        </w:numPr>
      </w:pPr>
      <w:r w:rsidRPr="00DD607B">
        <w:t>Indirect activities: for example, through the introduction of Single European Currency. The reduction in interest rates and inflation in the EU leading to a real cost increase for DB plans accelerating the trend to DC schemes. The fact that there is now no currency risk for Eurozone plans to invest in other Eurozone countries has significantly reduced (but by no means eliminated) the domestic bias in Eurozone plans i.e., the tendency for pension plans to invest a disproportionate amount of their assets in the home market.</w:t>
      </w:r>
    </w:p>
    <w:p w14:paraId="4AE67DC4" w14:textId="77777777" w:rsidR="00DD607B" w:rsidRPr="00DD607B" w:rsidRDefault="00DD607B" w:rsidP="00DD607B">
      <w:pPr>
        <w:pStyle w:val="NoSpacing"/>
        <w:ind w:left="567"/>
      </w:pPr>
    </w:p>
    <w:p w14:paraId="0773A797" w14:textId="77777777" w:rsidR="00DD607B" w:rsidRPr="00DD607B" w:rsidRDefault="00DD607B" w:rsidP="00DD607B">
      <w:pPr>
        <w:pStyle w:val="NoSpacing"/>
        <w:ind w:left="567"/>
      </w:pPr>
      <w:r w:rsidRPr="00DD607B">
        <w:t xml:space="preserve"> This question requires a full explanation of the relevant</w:t>
      </w:r>
      <w:r w:rsidRPr="00DD607B">
        <w:rPr>
          <w:spacing w:val="-12"/>
        </w:rPr>
        <w:t xml:space="preserve"> </w:t>
      </w:r>
      <w:r w:rsidRPr="00DD607B">
        <w:t>material.</w:t>
      </w:r>
    </w:p>
    <w:p w14:paraId="0A0A2DF3" w14:textId="77777777" w:rsidR="00DD607B" w:rsidRPr="00DD607B" w:rsidRDefault="00DD607B" w:rsidP="00DD607B">
      <w:pPr>
        <w:pStyle w:val="NoSpacing"/>
        <w:ind w:left="567"/>
      </w:pPr>
    </w:p>
    <w:p w14:paraId="7AF10818" w14:textId="77777777" w:rsidR="00DD607B" w:rsidRPr="00DD607B" w:rsidRDefault="00DD607B" w:rsidP="00DD607B">
      <w:pPr>
        <w:pStyle w:val="NoSpacing"/>
        <w:ind w:left="567"/>
        <w:rPr>
          <w:b/>
        </w:rPr>
      </w:pPr>
      <w:r w:rsidRPr="00DD607B">
        <w:t>(Relevant sections are Part 12, Chapters 1.3 and 1.5.</w:t>
      </w:r>
      <w:r w:rsidRPr="00DD607B">
        <w:rPr>
          <w:b/>
        </w:rPr>
        <w:t>)</w:t>
      </w:r>
    </w:p>
    <w:p w14:paraId="0BD0826C" w14:textId="77777777" w:rsidR="00DD607B" w:rsidRPr="00DD607B" w:rsidRDefault="00DD607B" w:rsidP="00DD607B">
      <w:pPr>
        <w:pStyle w:val="BodyText"/>
        <w:rPr>
          <w:b/>
          <w:sz w:val="22"/>
          <w:szCs w:val="22"/>
        </w:rPr>
      </w:pPr>
    </w:p>
    <w:p w14:paraId="502D457B" w14:textId="77777777" w:rsidR="00DD607B" w:rsidRPr="00DD607B" w:rsidRDefault="00DD607B" w:rsidP="00DD607B">
      <w:pPr>
        <w:pStyle w:val="BodyText"/>
        <w:spacing w:before="9"/>
        <w:rPr>
          <w:b/>
          <w:bCs/>
          <w:sz w:val="22"/>
          <w:szCs w:val="22"/>
        </w:rPr>
      </w:pPr>
    </w:p>
    <w:p w14:paraId="52068CB8" w14:textId="77777777" w:rsidR="00DD607B" w:rsidRPr="00DD607B" w:rsidRDefault="00DD607B" w:rsidP="00DD607B">
      <w:pPr>
        <w:pStyle w:val="ListParagraph"/>
        <w:numPr>
          <w:ilvl w:val="0"/>
          <w:numId w:val="1"/>
        </w:numPr>
        <w:tabs>
          <w:tab w:val="left" w:pos="460"/>
          <w:tab w:val="left" w:pos="461"/>
        </w:tabs>
        <w:spacing w:before="63"/>
        <w:ind w:hanging="361"/>
        <w:rPr>
          <w:b/>
          <w:bCs/>
        </w:rPr>
      </w:pPr>
      <w:r w:rsidRPr="00DD607B">
        <w:rPr>
          <w:b/>
          <w:bCs/>
        </w:rPr>
        <w:t>What are the specific objectives of the IORP Directive?</w:t>
      </w:r>
    </w:p>
    <w:p w14:paraId="2C21536F" w14:textId="77777777" w:rsidR="00DD607B" w:rsidRPr="00DD607B" w:rsidRDefault="00DD607B" w:rsidP="00DD607B">
      <w:pPr>
        <w:pStyle w:val="BodyText"/>
        <w:spacing w:before="11"/>
        <w:rPr>
          <w:b/>
          <w:bCs/>
          <w:sz w:val="22"/>
          <w:szCs w:val="22"/>
        </w:rPr>
      </w:pPr>
    </w:p>
    <w:p w14:paraId="158A9262" w14:textId="77777777" w:rsidR="00DD607B" w:rsidRPr="00DD607B" w:rsidRDefault="00DD607B" w:rsidP="00DD607B">
      <w:pPr>
        <w:pStyle w:val="Heading2"/>
        <w:ind w:right="219"/>
        <w:rPr>
          <w:sz w:val="22"/>
          <w:szCs w:val="22"/>
        </w:rPr>
      </w:pPr>
      <w:r w:rsidRPr="00DD607B">
        <w:rPr>
          <w:sz w:val="22"/>
          <w:szCs w:val="22"/>
        </w:rPr>
        <w:t>10 marks</w:t>
      </w:r>
    </w:p>
    <w:p w14:paraId="1E2BBE0C" w14:textId="77777777" w:rsidR="00DD607B" w:rsidRPr="00DD607B" w:rsidRDefault="00DD607B" w:rsidP="00DD607B">
      <w:pPr>
        <w:pStyle w:val="BodyText"/>
        <w:spacing w:before="2"/>
        <w:rPr>
          <w:sz w:val="22"/>
          <w:szCs w:val="22"/>
        </w:rPr>
      </w:pPr>
    </w:p>
    <w:p w14:paraId="0F26A263" w14:textId="77777777" w:rsidR="00DD607B" w:rsidRPr="00DD607B" w:rsidRDefault="00DD607B" w:rsidP="00DD607B">
      <w:pPr>
        <w:pStyle w:val="ListParagraph"/>
        <w:numPr>
          <w:ilvl w:val="1"/>
          <w:numId w:val="2"/>
        </w:numPr>
        <w:tabs>
          <w:tab w:val="left" w:pos="820"/>
          <w:tab w:val="left" w:pos="821"/>
        </w:tabs>
        <w:spacing w:line="229" w:lineRule="exact"/>
        <w:ind w:hanging="361"/>
      </w:pPr>
      <w:r w:rsidRPr="00DD607B">
        <w:t>Remove remaining barriers for cross-border IORPs</w:t>
      </w:r>
    </w:p>
    <w:p w14:paraId="58306324" w14:textId="77777777" w:rsidR="00DD607B" w:rsidRPr="00DD607B" w:rsidRDefault="00DD607B" w:rsidP="00DD607B">
      <w:pPr>
        <w:pStyle w:val="ListParagraph"/>
        <w:numPr>
          <w:ilvl w:val="1"/>
          <w:numId w:val="2"/>
        </w:numPr>
        <w:tabs>
          <w:tab w:val="left" w:pos="820"/>
          <w:tab w:val="left" w:pos="821"/>
        </w:tabs>
        <w:spacing w:line="229" w:lineRule="exact"/>
        <w:ind w:hanging="361"/>
      </w:pPr>
      <w:r w:rsidRPr="00DD607B">
        <w:t>Ensure good governance and risk management</w:t>
      </w:r>
    </w:p>
    <w:p w14:paraId="5358383D" w14:textId="77777777" w:rsidR="00DD607B" w:rsidRPr="00DD607B" w:rsidRDefault="00DD607B" w:rsidP="00DD607B">
      <w:pPr>
        <w:pStyle w:val="ListParagraph"/>
        <w:numPr>
          <w:ilvl w:val="1"/>
          <w:numId w:val="2"/>
        </w:numPr>
        <w:tabs>
          <w:tab w:val="left" w:pos="820"/>
          <w:tab w:val="left" w:pos="821"/>
        </w:tabs>
        <w:spacing w:line="229" w:lineRule="exact"/>
        <w:ind w:hanging="361"/>
      </w:pPr>
      <w:r w:rsidRPr="00DD607B">
        <w:t>Provide clear and relevant information to members and beneficiaries</w:t>
      </w:r>
    </w:p>
    <w:p w14:paraId="7A726608" w14:textId="77777777" w:rsidR="00DD607B" w:rsidRPr="00DD607B" w:rsidRDefault="00DD607B" w:rsidP="00DD607B">
      <w:pPr>
        <w:pStyle w:val="ListParagraph"/>
        <w:numPr>
          <w:ilvl w:val="1"/>
          <w:numId w:val="2"/>
        </w:numPr>
        <w:tabs>
          <w:tab w:val="left" w:pos="820"/>
          <w:tab w:val="left" w:pos="821"/>
        </w:tabs>
        <w:spacing w:line="229" w:lineRule="exact"/>
        <w:ind w:hanging="361"/>
      </w:pPr>
      <w:r w:rsidRPr="00DD607B">
        <w:t>Ensure that supervisors/ regulatory bodies have the necessary tools to effectively supervise IORPs</w:t>
      </w:r>
    </w:p>
    <w:p w14:paraId="11C13400" w14:textId="77777777" w:rsidR="00DD607B" w:rsidRPr="00DD607B" w:rsidRDefault="00DD607B" w:rsidP="00DD607B">
      <w:pPr>
        <w:pStyle w:val="ListParagraph"/>
        <w:tabs>
          <w:tab w:val="left" w:pos="820"/>
          <w:tab w:val="left" w:pos="821"/>
        </w:tabs>
        <w:spacing w:before="1" w:line="470" w:lineRule="auto"/>
        <w:ind w:left="527" w:right="4246" w:firstLine="0"/>
      </w:pPr>
    </w:p>
    <w:p w14:paraId="3BF4977A" w14:textId="77777777" w:rsidR="00DD607B" w:rsidRPr="00DD607B" w:rsidRDefault="00DD607B" w:rsidP="00DD607B">
      <w:pPr>
        <w:pStyle w:val="ListParagraph"/>
        <w:tabs>
          <w:tab w:val="left" w:pos="820"/>
          <w:tab w:val="left" w:pos="821"/>
        </w:tabs>
        <w:spacing w:before="1" w:line="470" w:lineRule="auto"/>
        <w:ind w:left="527" w:right="4246" w:firstLine="0"/>
      </w:pPr>
      <w:r w:rsidRPr="00DD607B">
        <w:t>(Relevant section is Part 12, Chapter</w:t>
      </w:r>
      <w:r w:rsidRPr="00DD607B">
        <w:rPr>
          <w:spacing w:val="-13"/>
        </w:rPr>
        <w:t xml:space="preserve"> </w:t>
      </w:r>
      <w:r w:rsidRPr="00DD607B">
        <w:t>1.5)</w:t>
      </w:r>
    </w:p>
    <w:p w14:paraId="638C732F" w14:textId="77777777" w:rsidR="00DD607B" w:rsidRDefault="00DD607B" w:rsidP="00DD607B">
      <w:pPr>
        <w:pStyle w:val="BodyText"/>
        <w:spacing w:before="10"/>
        <w:rPr>
          <w:b/>
          <w:bCs/>
          <w:sz w:val="22"/>
          <w:szCs w:val="22"/>
        </w:rPr>
      </w:pPr>
    </w:p>
    <w:p w14:paraId="56DD1687" w14:textId="77777777" w:rsidR="00056AC8" w:rsidRDefault="00056AC8" w:rsidP="00DD607B">
      <w:pPr>
        <w:pStyle w:val="BodyText"/>
        <w:spacing w:before="10"/>
        <w:rPr>
          <w:b/>
          <w:bCs/>
          <w:sz w:val="22"/>
          <w:szCs w:val="22"/>
        </w:rPr>
      </w:pPr>
    </w:p>
    <w:p w14:paraId="38AE3ADE" w14:textId="77777777" w:rsidR="00056AC8" w:rsidRDefault="00056AC8" w:rsidP="00DD607B">
      <w:pPr>
        <w:pStyle w:val="BodyText"/>
        <w:spacing w:before="10"/>
        <w:rPr>
          <w:b/>
          <w:bCs/>
          <w:sz w:val="22"/>
          <w:szCs w:val="22"/>
        </w:rPr>
      </w:pPr>
    </w:p>
    <w:p w14:paraId="3703EA59" w14:textId="77777777" w:rsidR="00056AC8" w:rsidRDefault="00056AC8" w:rsidP="00DD607B">
      <w:pPr>
        <w:pStyle w:val="BodyText"/>
        <w:spacing w:before="10"/>
        <w:rPr>
          <w:b/>
          <w:bCs/>
          <w:sz w:val="22"/>
          <w:szCs w:val="22"/>
        </w:rPr>
      </w:pPr>
    </w:p>
    <w:p w14:paraId="002A2F14" w14:textId="77777777" w:rsidR="00056AC8" w:rsidRDefault="00056AC8" w:rsidP="00DD607B">
      <w:pPr>
        <w:pStyle w:val="BodyText"/>
        <w:spacing w:before="10"/>
        <w:rPr>
          <w:b/>
          <w:bCs/>
          <w:sz w:val="22"/>
          <w:szCs w:val="22"/>
        </w:rPr>
      </w:pPr>
    </w:p>
    <w:p w14:paraId="19BC2B7A" w14:textId="77777777" w:rsidR="00056AC8" w:rsidRDefault="00056AC8" w:rsidP="00DD607B">
      <w:pPr>
        <w:pStyle w:val="BodyText"/>
        <w:spacing w:before="10"/>
        <w:rPr>
          <w:b/>
          <w:bCs/>
          <w:sz w:val="22"/>
          <w:szCs w:val="22"/>
        </w:rPr>
      </w:pPr>
    </w:p>
    <w:p w14:paraId="46DD36BE" w14:textId="77777777" w:rsidR="00056AC8" w:rsidRDefault="00056AC8" w:rsidP="00DD607B">
      <w:pPr>
        <w:pStyle w:val="BodyText"/>
        <w:spacing w:before="10"/>
        <w:rPr>
          <w:b/>
          <w:bCs/>
          <w:sz w:val="22"/>
          <w:szCs w:val="22"/>
        </w:rPr>
      </w:pPr>
    </w:p>
    <w:p w14:paraId="5B1AD23F" w14:textId="77777777" w:rsidR="00056AC8" w:rsidRDefault="00056AC8" w:rsidP="00DD607B">
      <w:pPr>
        <w:pStyle w:val="BodyText"/>
        <w:spacing w:before="10"/>
        <w:rPr>
          <w:b/>
          <w:bCs/>
          <w:sz w:val="22"/>
          <w:szCs w:val="22"/>
        </w:rPr>
      </w:pPr>
    </w:p>
    <w:p w14:paraId="47CBCD69" w14:textId="77777777" w:rsidR="00056AC8" w:rsidRDefault="00056AC8" w:rsidP="00DD607B">
      <w:pPr>
        <w:pStyle w:val="BodyText"/>
        <w:spacing w:before="10"/>
        <w:rPr>
          <w:b/>
          <w:bCs/>
          <w:sz w:val="22"/>
          <w:szCs w:val="22"/>
        </w:rPr>
      </w:pPr>
    </w:p>
    <w:p w14:paraId="7A7FF1AF" w14:textId="77777777" w:rsidR="00056AC8" w:rsidRDefault="00056AC8" w:rsidP="00DD607B">
      <w:pPr>
        <w:pStyle w:val="BodyText"/>
        <w:spacing w:before="10"/>
        <w:rPr>
          <w:b/>
          <w:bCs/>
          <w:sz w:val="22"/>
          <w:szCs w:val="22"/>
        </w:rPr>
      </w:pPr>
    </w:p>
    <w:p w14:paraId="3992BC76" w14:textId="77777777" w:rsidR="00056AC8" w:rsidRDefault="00056AC8" w:rsidP="00DD607B">
      <w:pPr>
        <w:pStyle w:val="BodyText"/>
        <w:spacing w:before="10"/>
        <w:rPr>
          <w:b/>
          <w:bCs/>
          <w:sz w:val="22"/>
          <w:szCs w:val="22"/>
        </w:rPr>
      </w:pPr>
    </w:p>
    <w:p w14:paraId="47043CDF" w14:textId="77777777" w:rsidR="00056AC8" w:rsidRDefault="00056AC8" w:rsidP="00DD607B">
      <w:pPr>
        <w:pStyle w:val="BodyText"/>
        <w:spacing w:before="10"/>
        <w:rPr>
          <w:b/>
          <w:bCs/>
          <w:sz w:val="22"/>
          <w:szCs w:val="22"/>
        </w:rPr>
      </w:pPr>
    </w:p>
    <w:p w14:paraId="7E463D4A" w14:textId="77777777" w:rsidR="00056AC8" w:rsidRPr="00DD607B" w:rsidRDefault="00056AC8" w:rsidP="00DD607B">
      <w:pPr>
        <w:pStyle w:val="BodyText"/>
        <w:spacing w:before="10"/>
        <w:rPr>
          <w:b/>
          <w:bCs/>
          <w:sz w:val="22"/>
          <w:szCs w:val="22"/>
        </w:rPr>
      </w:pPr>
    </w:p>
    <w:p w14:paraId="22330E01" w14:textId="77777777" w:rsidR="00DD607B" w:rsidRPr="00DD607B" w:rsidRDefault="00DD607B" w:rsidP="00DD607B">
      <w:pPr>
        <w:pStyle w:val="ListParagraph"/>
        <w:numPr>
          <w:ilvl w:val="0"/>
          <w:numId w:val="1"/>
        </w:numPr>
        <w:tabs>
          <w:tab w:val="left" w:pos="460"/>
          <w:tab w:val="left" w:pos="461"/>
        </w:tabs>
        <w:ind w:right="2427"/>
        <w:rPr>
          <w:b/>
          <w:bCs/>
        </w:rPr>
      </w:pPr>
      <w:r w:rsidRPr="00DD607B">
        <w:rPr>
          <w:b/>
          <w:bCs/>
        </w:rPr>
        <w:t>The Pensions Directive applies to all “Institutions for Occupational Retirement Provision” (IORPs). List the exceptions.</w:t>
      </w:r>
    </w:p>
    <w:p w14:paraId="1BAD05B8" w14:textId="77777777" w:rsidR="00DD607B" w:rsidRPr="00DD607B" w:rsidRDefault="00DD607B" w:rsidP="00DD607B">
      <w:pPr>
        <w:pStyle w:val="BodyText"/>
        <w:spacing w:before="8"/>
        <w:rPr>
          <w:b/>
          <w:bCs/>
          <w:sz w:val="22"/>
          <w:szCs w:val="22"/>
        </w:rPr>
      </w:pPr>
    </w:p>
    <w:p w14:paraId="08CD9035" w14:textId="5121FB2C" w:rsidR="00DD607B" w:rsidRPr="00DD607B" w:rsidRDefault="00DD607B" w:rsidP="00DD607B">
      <w:pPr>
        <w:pStyle w:val="Heading2"/>
        <w:spacing w:before="64"/>
        <w:ind w:right="219"/>
        <w:rPr>
          <w:sz w:val="22"/>
          <w:szCs w:val="22"/>
        </w:rPr>
      </w:pPr>
      <w:r w:rsidRPr="00DD607B">
        <w:rPr>
          <w:sz w:val="22"/>
          <w:szCs w:val="22"/>
        </w:rPr>
        <w:t>10 marks</w:t>
      </w:r>
    </w:p>
    <w:p w14:paraId="2A685FC2" w14:textId="77777777" w:rsidR="00DD607B" w:rsidRPr="00DD607B" w:rsidRDefault="00DD607B" w:rsidP="00DD607B">
      <w:pPr>
        <w:pStyle w:val="BodyText"/>
        <w:spacing w:before="3"/>
        <w:rPr>
          <w:b/>
          <w:bCs/>
          <w:sz w:val="22"/>
          <w:szCs w:val="22"/>
        </w:rPr>
      </w:pPr>
    </w:p>
    <w:p w14:paraId="08CD0CB2" w14:textId="77777777" w:rsidR="00DD607B" w:rsidRPr="00DD607B" w:rsidRDefault="00DD607B" w:rsidP="00DD607B">
      <w:pPr>
        <w:pStyle w:val="BodyText"/>
        <w:ind w:left="527"/>
        <w:rPr>
          <w:sz w:val="22"/>
          <w:szCs w:val="22"/>
        </w:rPr>
      </w:pPr>
      <w:r w:rsidRPr="00DD607B">
        <w:rPr>
          <w:sz w:val="22"/>
          <w:szCs w:val="22"/>
        </w:rPr>
        <w:t>Answer should cover:</w:t>
      </w:r>
    </w:p>
    <w:p w14:paraId="3D6CB21A" w14:textId="77777777" w:rsidR="00DD607B" w:rsidRPr="00DD607B" w:rsidRDefault="00DD607B" w:rsidP="00DD607B">
      <w:pPr>
        <w:pStyle w:val="BodyText"/>
        <w:rPr>
          <w:sz w:val="22"/>
          <w:szCs w:val="22"/>
        </w:rPr>
      </w:pPr>
    </w:p>
    <w:p w14:paraId="0DF95415" w14:textId="77777777" w:rsidR="00DD607B" w:rsidRPr="00DD607B" w:rsidRDefault="00DD607B" w:rsidP="00DD607B">
      <w:pPr>
        <w:pStyle w:val="ListParagraph"/>
        <w:numPr>
          <w:ilvl w:val="1"/>
          <w:numId w:val="2"/>
        </w:numPr>
        <w:tabs>
          <w:tab w:val="left" w:pos="820"/>
          <w:tab w:val="left" w:pos="821"/>
        </w:tabs>
        <w:ind w:hanging="361"/>
      </w:pPr>
      <w:r w:rsidRPr="00DD607B">
        <w:t>Pension plans with less than 100 members, if the given Member-State so</w:t>
      </w:r>
      <w:r w:rsidRPr="00DD607B">
        <w:rPr>
          <w:spacing w:val="-22"/>
        </w:rPr>
        <w:t xml:space="preserve"> </w:t>
      </w:r>
      <w:r w:rsidRPr="00DD607B">
        <w:t>decides</w:t>
      </w:r>
    </w:p>
    <w:p w14:paraId="311B6BCB" w14:textId="77777777" w:rsidR="00DD607B" w:rsidRPr="00DD607B" w:rsidRDefault="00DD607B" w:rsidP="00DD607B">
      <w:pPr>
        <w:pStyle w:val="ListParagraph"/>
        <w:numPr>
          <w:ilvl w:val="1"/>
          <w:numId w:val="2"/>
        </w:numPr>
        <w:tabs>
          <w:tab w:val="left" w:pos="820"/>
          <w:tab w:val="left" w:pos="821"/>
        </w:tabs>
        <w:spacing w:before="1" w:line="229" w:lineRule="exact"/>
        <w:ind w:hanging="361"/>
      </w:pPr>
      <w:r w:rsidRPr="00DD607B">
        <w:t>Social Security Systems</w:t>
      </w:r>
    </w:p>
    <w:p w14:paraId="04030D23" w14:textId="77777777" w:rsidR="00DD607B" w:rsidRPr="00DD607B" w:rsidRDefault="00DD607B" w:rsidP="00DD607B">
      <w:pPr>
        <w:pStyle w:val="ListParagraph"/>
        <w:numPr>
          <w:ilvl w:val="1"/>
          <w:numId w:val="2"/>
        </w:numPr>
        <w:tabs>
          <w:tab w:val="left" w:pos="820"/>
          <w:tab w:val="left" w:pos="821"/>
        </w:tabs>
        <w:spacing w:line="229" w:lineRule="exact"/>
        <w:ind w:hanging="361"/>
      </w:pPr>
      <w:r w:rsidRPr="00DD607B">
        <w:t>Life insurance companies, with certain</w:t>
      </w:r>
      <w:r w:rsidRPr="00DD607B">
        <w:rPr>
          <w:spacing w:val="-8"/>
        </w:rPr>
        <w:t xml:space="preserve"> </w:t>
      </w:r>
      <w:r w:rsidRPr="00DD607B">
        <w:t>exceptions</w:t>
      </w:r>
    </w:p>
    <w:p w14:paraId="041BA8A6" w14:textId="77777777" w:rsidR="00DD607B" w:rsidRPr="00DD607B" w:rsidRDefault="00DD607B" w:rsidP="00DD607B">
      <w:pPr>
        <w:pStyle w:val="ListParagraph"/>
        <w:numPr>
          <w:ilvl w:val="1"/>
          <w:numId w:val="2"/>
        </w:numPr>
        <w:tabs>
          <w:tab w:val="left" w:pos="820"/>
          <w:tab w:val="left" w:pos="821"/>
        </w:tabs>
        <w:spacing w:before="1" w:line="229" w:lineRule="exact"/>
        <w:ind w:hanging="361"/>
      </w:pPr>
      <w:r w:rsidRPr="00DD607B">
        <w:t>Unfunded pension</w:t>
      </w:r>
      <w:r w:rsidRPr="00DD607B">
        <w:rPr>
          <w:spacing w:val="-1"/>
        </w:rPr>
        <w:t xml:space="preserve"> </w:t>
      </w:r>
      <w:r w:rsidRPr="00DD607B">
        <w:t>arrangements</w:t>
      </w:r>
    </w:p>
    <w:p w14:paraId="34218CDF" w14:textId="77777777" w:rsidR="00DD607B" w:rsidRPr="00DD607B" w:rsidRDefault="00DD607B" w:rsidP="00DD607B">
      <w:pPr>
        <w:pStyle w:val="ListParagraph"/>
        <w:numPr>
          <w:ilvl w:val="1"/>
          <w:numId w:val="2"/>
        </w:numPr>
        <w:tabs>
          <w:tab w:val="left" w:pos="820"/>
          <w:tab w:val="left" w:pos="821"/>
        </w:tabs>
        <w:spacing w:line="229" w:lineRule="exact"/>
        <w:ind w:hanging="361"/>
      </w:pPr>
      <w:r w:rsidRPr="00DD607B">
        <w:t>In Germany, “Unterstutzungskassen” (support</w:t>
      </w:r>
      <w:r w:rsidRPr="00DD607B">
        <w:rPr>
          <w:spacing w:val="-4"/>
        </w:rPr>
        <w:t xml:space="preserve"> </w:t>
      </w:r>
      <w:r w:rsidRPr="00DD607B">
        <w:t>funds)</w:t>
      </w:r>
    </w:p>
    <w:p w14:paraId="06261311" w14:textId="77777777" w:rsidR="00DD607B" w:rsidRPr="00DD607B" w:rsidRDefault="00DD607B" w:rsidP="00DD607B">
      <w:pPr>
        <w:pStyle w:val="BodyText"/>
        <w:rPr>
          <w:sz w:val="22"/>
          <w:szCs w:val="22"/>
        </w:rPr>
      </w:pPr>
    </w:p>
    <w:p w14:paraId="7DB634A9" w14:textId="77777777" w:rsidR="00DD607B" w:rsidRPr="00DD607B" w:rsidRDefault="00DD607B" w:rsidP="00DD607B">
      <w:pPr>
        <w:pStyle w:val="BodyText"/>
        <w:ind w:left="527"/>
        <w:rPr>
          <w:sz w:val="22"/>
          <w:szCs w:val="22"/>
        </w:rPr>
      </w:pPr>
      <w:r w:rsidRPr="00DD607B">
        <w:rPr>
          <w:sz w:val="22"/>
          <w:szCs w:val="22"/>
        </w:rPr>
        <w:t>(Relevant section is Part 12, Chapter 1.5.)</w:t>
      </w:r>
    </w:p>
    <w:p w14:paraId="7ABA7E93" w14:textId="77777777" w:rsidR="00DD607B" w:rsidRPr="00DD607B" w:rsidRDefault="00DD607B" w:rsidP="00DD607B">
      <w:pPr>
        <w:pStyle w:val="BodyText"/>
        <w:ind w:left="527"/>
        <w:rPr>
          <w:sz w:val="22"/>
          <w:szCs w:val="22"/>
        </w:rPr>
      </w:pPr>
    </w:p>
    <w:p w14:paraId="6558554B" w14:textId="77777777" w:rsidR="00DD607B" w:rsidRPr="00DD607B" w:rsidRDefault="00DD607B" w:rsidP="00DD607B">
      <w:pPr>
        <w:pStyle w:val="BodyText"/>
        <w:spacing w:before="3"/>
        <w:rPr>
          <w:b/>
          <w:bCs/>
          <w:sz w:val="22"/>
          <w:szCs w:val="22"/>
        </w:rPr>
      </w:pPr>
    </w:p>
    <w:p w14:paraId="012E5E03" w14:textId="77777777" w:rsidR="00DD607B" w:rsidRPr="00DD607B" w:rsidRDefault="00DD607B" w:rsidP="00DD607B">
      <w:pPr>
        <w:pStyle w:val="ListParagraph"/>
        <w:numPr>
          <w:ilvl w:val="0"/>
          <w:numId w:val="1"/>
        </w:numPr>
        <w:tabs>
          <w:tab w:val="left" w:pos="460"/>
          <w:tab w:val="left" w:pos="461"/>
        </w:tabs>
        <w:spacing w:before="64"/>
        <w:ind w:hanging="361"/>
        <w:rPr>
          <w:b/>
          <w:bCs/>
        </w:rPr>
      </w:pPr>
      <w:r w:rsidRPr="00DD607B">
        <w:rPr>
          <w:b/>
          <w:bCs/>
        </w:rPr>
        <w:t>Your manager has asked you to outline the social security rights of internationally mobile employees in the</w:t>
      </w:r>
      <w:r w:rsidRPr="00DD607B">
        <w:rPr>
          <w:b/>
          <w:bCs/>
          <w:spacing w:val="-9"/>
        </w:rPr>
        <w:t xml:space="preserve"> </w:t>
      </w:r>
      <w:r w:rsidRPr="00DD607B">
        <w:rPr>
          <w:b/>
          <w:bCs/>
        </w:rPr>
        <w:t>EU.  Draft your report.</w:t>
      </w:r>
    </w:p>
    <w:p w14:paraId="6AD945F8" w14:textId="77777777" w:rsidR="00DD607B" w:rsidRPr="00DD607B" w:rsidRDefault="00DD607B" w:rsidP="00DD607B">
      <w:pPr>
        <w:pStyle w:val="BodyText"/>
        <w:spacing w:before="7"/>
        <w:rPr>
          <w:b/>
          <w:bCs/>
          <w:sz w:val="22"/>
          <w:szCs w:val="22"/>
        </w:rPr>
      </w:pPr>
    </w:p>
    <w:p w14:paraId="2C5E33BB" w14:textId="77777777" w:rsidR="00DD607B" w:rsidRPr="00DD607B" w:rsidRDefault="00DD607B" w:rsidP="00DD607B">
      <w:pPr>
        <w:pStyle w:val="Heading2"/>
        <w:spacing w:before="64"/>
        <w:ind w:right="219"/>
        <w:rPr>
          <w:sz w:val="22"/>
          <w:szCs w:val="22"/>
        </w:rPr>
      </w:pPr>
      <w:r w:rsidRPr="00DD607B">
        <w:rPr>
          <w:sz w:val="22"/>
          <w:szCs w:val="22"/>
        </w:rPr>
        <w:t>20 marks</w:t>
      </w:r>
    </w:p>
    <w:p w14:paraId="34F35CE2" w14:textId="77777777" w:rsidR="00DD607B" w:rsidRPr="00DD607B" w:rsidRDefault="00DD607B" w:rsidP="00DD607B">
      <w:pPr>
        <w:pStyle w:val="BodyText"/>
        <w:spacing w:before="8"/>
        <w:rPr>
          <w:b/>
          <w:bCs/>
          <w:sz w:val="22"/>
          <w:szCs w:val="22"/>
        </w:rPr>
      </w:pPr>
    </w:p>
    <w:p w14:paraId="1F51F468" w14:textId="77777777" w:rsidR="00DD607B" w:rsidRPr="00DD607B" w:rsidRDefault="00DD607B" w:rsidP="00DD607B">
      <w:pPr>
        <w:pStyle w:val="NoSpacing"/>
        <w:ind w:left="567"/>
      </w:pPr>
      <w:r w:rsidRPr="00DD607B">
        <w:t>Answer should cover:</w:t>
      </w:r>
    </w:p>
    <w:p w14:paraId="2619E9F6" w14:textId="77777777" w:rsidR="00DD607B" w:rsidRPr="00DD607B" w:rsidRDefault="00DD607B" w:rsidP="00DD607B">
      <w:pPr>
        <w:pStyle w:val="NoSpacing"/>
        <w:ind w:left="567"/>
      </w:pPr>
    </w:p>
    <w:p w14:paraId="4B315457" w14:textId="77777777" w:rsidR="00DD607B" w:rsidRPr="00DD607B" w:rsidRDefault="00DD607B" w:rsidP="00DD607B">
      <w:pPr>
        <w:pStyle w:val="NoSpacing"/>
        <w:ind w:left="567"/>
      </w:pPr>
      <w:r w:rsidRPr="00DD607B">
        <w:t xml:space="preserve">The impact of Regulation 1408/71 and its successors. Old rules dating back to 1972…Employees being transferred temporarily by their Home country employers to work in another Member-State for a period not expected to exceed 12 months, may be retained in the Home country Social Security system. Bur the requirements that the individual not be replacing another employee on temporary transfer. </w:t>
      </w:r>
    </w:p>
    <w:p w14:paraId="3E7D5C81" w14:textId="77777777" w:rsidR="00DD607B" w:rsidRPr="00DD607B" w:rsidRDefault="00DD607B" w:rsidP="00DD607B">
      <w:pPr>
        <w:pStyle w:val="NoSpacing"/>
        <w:ind w:left="567"/>
      </w:pPr>
    </w:p>
    <w:p w14:paraId="6A52A4F7" w14:textId="77777777" w:rsidR="00DD607B" w:rsidRPr="00DD607B" w:rsidRDefault="00DD607B" w:rsidP="00DD607B">
      <w:pPr>
        <w:pStyle w:val="NoSpacing"/>
        <w:ind w:left="567"/>
      </w:pPr>
      <w:r w:rsidRPr="00DD607B">
        <w:t xml:space="preserve">For employees who unexpectedly overrun their assignment, an extension for up to a further 12 moths may be obtained. The new rule that came into force in 2010 is that the same principles apply, the new time limit not expected to exceed is 24 months with </w:t>
      </w:r>
    </w:p>
    <w:p w14:paraId="7F8F8B57" w14:textId="77777777" w:rsidR="00DD607B" w:rsidRPr="00DD607B" w:rsidRDefault="00DD607B" w:rsidP="00DD607B">
      <w:pPr>
        <w:pStyle w:val="NoSpacing"/>
        <w:ind w:left="567"/>
      </w:pPr>
      <w:r w:rsidRPr="00DD607B">
        <w:t xml:space="preserve">no provision for renewal. This now includes workers recruited with a view to working in the other Member State provided that, immediately before transfer, these individuals were already subject to contribution in the Member State where the Employer is established. </w:t>
      </w:r>
    </w:p>
    <w:p w14:paraId="40E19339" w14:textId="77777777" w:rsidR="00DD607B" w:rsidRPr="00DD607B" w:rsidRDefault="00DD607B" w:rsidP="00DD607B">
      <w:pPr>
        <w:pStyle w:val="NoSpacing"/>
        <w:ind w:left="567"/>
      </w:pPr>
    </w:p>
    <w:p w14:paraId="28D9CD0C" w14:textId="77777777" w:rsidR="00DD607B" w:rsidRPr="00DD607B" w:rsidRDefault="00DD607B" w:rsidP="00DD607B">
      <w:pPr>
        <w:pStyle w:val="NoSpacing"/>
        <w:ind w:left="567"/>
      </w:pPr>
      <w:r w:rsidRPr="00DD607B">
        <w:t>Fundamental principles:</w:t>
      </w:r>
    </w:p>
    <w:p w14:paraId="469C08F2" w14:textId="77777777" w:rsidR="00DD607B" w:rsidRPr="00DD607B" w:rsidRDefault="00DD607B" w:rsidP="00DD607B">
      <w:pPr>
        <w:pStyle w:val="NoSpacing"/>
        <w:ind w:left="567"/>
      </w:pPr>
      <w:r w:rsidRPr="00DD607B">
        <w:t>Each country provides for eligibility for benefits to be determined by the total service credited in each of the countries</w:t>
      </w:r>
    </w:p>
    <w:p w14:paraId="6B0FFF9B" w14:textId="77777777" w:rsidR="00DD607B" w:rsidRPr="00DD607B" w:rsidRDefault="00DD607B" w:rsidP="00DD607B">
      <w:pPr>
        <w:pStyle w:val="NoSpacing"/>
        <w:ind w:left="567"/>
      </w:pPr>
      <w:r w:rsidRPr="00DD607B">
        <w:t>Benefits to be determined using that total service credited and then pro-rated in proportion.</w:t>
      </w:r>
    </w:p>
    <w:p w14:paraId="5FCDD963" w14:textId="77777777" w:rsidR="00DD607B" w:rsidRPr="00DD607B" w:rsidRDefault="00DD607B" w:rsidP="00DD607B">
      <w:pPr>
        <w:pStyle w:val="NoSpacing"/>
        <w:ind w:left="567"/>
      </w:pPr>
      <w:r w:rsidRPr="00DD607B">
        <w:t>Ensuring that benefits accrued in respect of partial career are protected.</w:t>
      </w:r>
    </w:p>
    <w:p w14:paraId="7719A35F" w14:textId="77777777" w:rsidR="00DD607B" w:rsidRPr="00DD607B" w:rsidRDefault="00DD607B" w:rsidP="00DD607B">
      <w:pPr>
        <w:pStyle w:val="NoSpacing"/>
        <w:ind w:left="567"/>
      </w:pPr>
      <w:r w:rsidRPr="00DD607B">
        <w:t>Avoiding the potential for double contributions (in Home and Host countries simultaneously)</w:t>
      </w:r>
    </w:p>
    <w:p w14:paraId="2D9D6FBF" w14:textId="77777777" w:rsidR="00DD607B" w:rsidRPr="00DD607B" w:rsidRDefault="00DD607B" w:rsidP="00DD607B">
      <w:pPr>
        <w:pStyle w:val="NoSpacing"/>
        <w:ind w:left="567"/>
      </w:pPr>
      <w:r w:rsidRPr="00DD607B">
        <w:t>(Relevant section is Part 12, Chapter</w:t>
      </w:r>
      <w:r w:rsidRPr="00DD607B">
        <w:rPr>
          <w:spacing w:val="-11"/>
        </w:rPr>
        <w:t xml:space="preserve"> </w:t>
      </w:r>
      <w:r w:rsidRPr="00DD607B">
        <w:t>1.6)</w:t>
      </w:r>
    </w:p>
    <w:p w14:paraId="3446E87E" w14:textId="77777777" w:rsidR="00DD607B" w:rsidRDefault="00DD607B" w:rsidP="00DD607B">
      <w:pPr>
        <w:pStyle w:val="BodyText"/>
        <w:spacing w:before="8"/>
        <w:rPr>
          <w:b/>
          <w:bCs/>
          <w:sz w:val="22"/>
          <w:szCs w:val="22"/>
        </w:rPr>
      </w:pPr>
    </w:p>
    <w:p w14:paraId="651F8DE4" w14:textId="77777777" w:rsidR="00DD607B" w:rsidRDefault="00DD607B" w:rsidP="00DD607B">
      <w:pPr>
        <w:pStyle w:val="BodyText"/>
        <w:spacing w:before="8"/>
        <w:rPr>
          <w:b/>
          <w:bCs/>
          <w:sz w:val="22"/>
          <w:szCs w:val="22"/>
        </w:rPr>
      </w:pPr>
    </w:p>
    <w:p w14:paraId="5C9179AF" w14:textId="77777777" w:rsidR="00DD607B" w:rsidRDefault="00DD607B" w:rsidP="00DD607B">
      <w:pPr>
        <w:pStyle w:val="BodyText"/>
        <w:spacing w:before="8"/>
        <w:rPr>
          <w:b/>
          <w:bCs/>
          <w:sz w:val="22"/>
          <w:szCs w:val="22"/>
        </w:rPr>
      </w:pPr>
    </w:p>
    <w:p w14:paraId="237C3BDA" w14:textId="77777777" w:rsidR="00DD607B" w:rsidRDefault="00DD607B" w:rsidP="00DD607B">
      <w:pPr>
        <w:pStyle w:val="BodyText"/>
        <w:spacing w:before="8"/>
        <w:rPr>
          <w:b/>
          <w:bCs/>
          <w:sz w:val="22"/>
          <w:szCs w:val="22"/>
        </w:rPr>
      </w:pPr>
    </w:p>
    <w:p w14:paraId="5072885D" w14:textId="77777777" w:rsidR="00DD607B" w:rsidRDefault="00DD607B" w:rsidP="00DD607B">
      <w:pPr>
        <w:pStyle w:val="BodyText"/>
        <w:spacing w:before="8"/>
        <w:rPr>
          <w:b/>
          <w:bCs/>
          <w:sz w:val="22"/>
          <w:szCs w:val="22"/>
        </w:rPr>
      </w:pPr>
    </w:p>
    <w:p w14:paraId="1C3EAD7E" w14:textId="77777777" w:rsidR="00DD607B" w:rsidRDefault="00DD607B" w:rsidP="00DD607B">
      <w:pPr>
        <w:pStyle w:val="BodyText"/>
        <w:spacing w:before="8"/>
        <w:rPr>
          <w:b/>
          <w:bCs/>
          <w:sz w:val="22"/>
          <w:szCs w:val="22"/>
        </w:rPr>
      </w:pPr>
    </w:p>
    <w:p w14:paraId="2C9F1349" w14:textId="77777777" w:rsidR="00DD607B" w:rsidRDefault="00DD607B" w:rsidP="00DD607B">
      <w:pPr>
        <w:pStyle w:val="BodyText"/>
        <w:spacing w:before="8"/>
        <w:rPr>
          <w:b/>
          <w:bCs/>
          <w:sz w:val="22"/>
          <w:szCs w:val="22"/>
        </w:rPr>
      </w:pPr>
    </w:p>
    <w:p w14:paraId="1DBF951A" w14:textId="77777777" w:rsidR="00DD607B" w:rsidRDefault="00DD607B" w:rsidP="00DD607B">
      <w:pPr>
        <w:pStyle w:val="BodyText"/>
        <w:spacing w:before="8"/>
        <w:rPr>
          <w:b/>
          <w:bCs/>
          <w:sz w:val="22"/>
          <w:szCs w:val="22"/>
        </w:rPr>
      </w:pPr>
    </w:p>
    <w:p w14:paraId="605C4B93" w14:textId="77777777" w:rsidR="00DD607B" w:rsidRDefault="00DD607B" w:rsidP="00DD607B">
      <w:pPr>
        <w:pStyle w:val="BodyText"/>
        <w:spacing w:before="8"/>
        <w:rPr>
          <w:b/>
          <w:bCs/>
          <w:sz w:val="22"/>
          <w:szCs w:val="22"/>
        </w:rPr>
      </w:pPr>
    </w:p>
    <w:p w14:paraId="67146423" w14:textId="77777777" w:rsidR="00DD607B" w:rsidRDefault="00DD607B" w:rsidP="00DD607B">
      <w:pPr>
        <w:pStyle w:val="BodyText"/>
        <w:spacing w:before="8"/>
        <w:rPr>
          <w:b/>
          <w:bCs/>
          <w:sz w:val="22"/>
          <w:szCs w:val="22"/>
        </w:rPr>
      </w:pPr>
    </w:p>
    <w:p w14:paraId="3EE69287" w14:textId="77777777" w:rsidR="00DD607B" w:rsidRDefault="00DD607B" w:rsidP="00DD607B">
      <w:pPr>
        <w:pStyle w:val="BodyText"/>
        <w:spacing w:before="8"/>
        <w:rPr>
          <w:b/>
          <w:bCs/>
          <w:sz w:val="22"/>
          <w:szCs w:val="22"/>
        </w:rPr>
      </w:pPr>
    </w:p>
    <w:p w14:paraId="6773F300" w14:textId="77777777" w:rsidR="00DD607B" w:rsidRDefault="00DD607B" w:rsidP="00DD607B">
      <w:pPr>
        <w:pStyle w:val="BodyText"/>
        <w:spacing w:before="8"/>
        <w:rPr>
          <w:b/>
          <w:bCs/>
          <w:sz w:val="22"/>
          <w:szCs w:val="22"/>
        </w:rPr>
      </w:pPr>
    </w:p>
    <w:p w14:paraId="7A059830" w14:textId="77777777" w:rsidR="00DD607B" w:rsidRDefault="00DD607B" w:rsidP="00DD607B">
      <w:pPr>
        <w:pStyle w:val="BodyText"/>
        <w:spacing w:before="8"/>
        <w:rPr>
          <w:b/>
          <w:bCs/>
          <w:sz w:val="22"/>
          <w:szCs w:val="22"/>
        </w:rPr>
      </w:pPr>
    </w:p>
    <w:p w14:paraId="44CB7373" w14:textId="77777777" w:rsidR="00DD607B" w:rsidRPr="00DD607B" w:rsidRDefault="00DD607B" w:rsidP="00DD607B">
      <w:pPr>
        <w:pStyle w:val="BodyText"/>
        <w:spacing w:before="8"/>
        <w:rPr>
          <w:b/>
          <w:bCs/>
          <w:sz w:val="22"/>
          <w:szCs w:val="22"/>
        </w:rPr>
      </w:pPr>
    </w:p>
    <w:p w14:paraId="773F1CAB" w14:textId="77777777" w:rsidR="00DD607B" w:rsidRPr="00DD607B" w:rsidRDefault="00DD607B" w:rsidP="00DD607B">
      <w:pPr>
        <w:pStyle w:val="ListParagraph"/>
        <w:numPr>
          <w:ilvl w:val="0"/>
          <w:numId w:val="1"/>
        </w:numPr>
        <w:tabs>
          <w:tab w:val="left" w:pos="460"/>
          <w:tab w:val="left" w:pos="461"/>
        </w:tabs>
        <w:spacing w:before="64"/>
        <w:ind w:hanging="361"/>
        <w:rPr>
          <w:b/>
          <w:bCs/>
        </w:rPr>
      </w:pPr>
      <w:r w:rsidRPr="00DD607B">
        <w:rPr>
          <w:b/>
          <w:bCs/>
        </w:rPr>
        <w:t>Your client has asked you to outline the impact of Economic and Monetary Union on pension plans in the</w:t>
      </w:r>
      <w:r w:rsidRPr="00DD607B">
        <w:rPr>
          <w:b/>
          <w:bCs/>
          <w:spacing w:val="-11"/>
        </w:rPr>
        <w:t xml:space="preserve"> </w:t>
      </w:r>
      <w:r w:rsidRPr="00DD607B">
        <w:rPr>
          <w:b/>
          <w:bCs/>
        </w:rPr>
        <w:t>EU.  Draft your report.</w:t>
      </w:r>
    </w:p>
    <w:p w14:paraId="4B3BD2C4" w14:textId="77777777" w:rsidR="00DD607B" w:rsidRPr="00DD607B" w:rsidRDefault="00DD607B" w:rsidP="00DD607B">
      <w:pPr>
        <w:pStyle w:val="BodyText"/>
        <w:spacing w:before="7"/>
        <w:rPr>
          <w:b/>
          <w:bCs/>
          <w:sz w:val="22"/>
          <w:szCs w:val="22"/>
        </w:rPr>
      </w:pPr>
    </w:p>
    <w:p w14:paraId="511192C7" w14:textId="77777777" w:rsidR="00DD607B" w:rsidRPr="00DD607B" w:rsidRDefault="00DD607B" w:rsidP="00DD607B">
      <w:pPr>
        <w:pStyle w:val="Heading2"/>
        <w:spacing w:before="63"/>
        <w:ind w:right="219"/>
        <w:rPr>
          <w:sz w:val="22"/>
          <w:szCs w:val="22"/>
        </w:rPr>
      </w:pPr>
      <w:r w:rsidRPr="00DD607B">
        <w:rPr>
          <w:sz w:val="22"/>
          <w:szCs w:val="22"/>
        </w:rPr>
        <w:t>20 marks</w:t>
      </w:r>
    </w:p>
    <w:p w14:paraId="2A38B383" w14:textId="77777777" w:rsidR="00DD607B" w:rsidRPr="00DD607B" w:rsidRDefault="00DD607B" w:rsidP="00DD607B">
      <w:pPr>
        <w:pStyle w:val="BodyText"/>
        <w:rPr>
          <w:b/>
          <w:sz w:val="22"/>
          <w:szCs w:val="22"/>
        </w:rPr>
      </w:pPr>
    </w:p>
    <w:p w14:paraId="5C4B6C8C" w14:textId="77777777" w:rsidR="00DD607B" w:rsidRPr="00DD607B" w:rsidRDefault="00DD607B" w:rsidP="00DD607B">
      <w:pPr>
        <w:pStyle w:val="BodyText"/>
        <w:rPr>
          <w:b/>
          <w:sz w:val="22"/>
          <w:szCs w:val="22"/>
        </w:rPr>
      </w:pPr>
    </w:p>
    <w:p w14:paraId="298E5672" w14:textId="77777777" w:rsidR="0040146A" w:rsidRPr="0040146A" w:rsidRDefault="0040146A" w:rsidP="0040146A">
      <w:pPr>
        <w:pStyle w:val="BodyText"/>
        <w:ind w:left="527" w:right="417"/>
        <w:rPr>
          <w:sz w:val="22"/>
          <w:szCs w:val="22"/>
        </w:rPr>
      </w:pPr>
      <w:r w:rsidRPr="0040146A">
        <w:rPr>
          <w:sz w:val="22"/>
          <w:szCs w:val="22"/>
        </w:rPr>
        <w:t>Answer should cover:</w:t>
      </w:r>
    </w:p>
    <w:p w14:paraId="54970E88" w14:textId="77777777" w:rsidR="0040146A" w:rsidRPr="0040146A" w:rsidRDefault="0040146A" w:rsidP="0040146A">
      <w:pPr>
        <w:pStyle w:val="BodyText"/>
        <w:spacing w:before="10"/>
        <w:rPr>
          <w:sz w:val="22"/>
          <w:szCs w:val="22"/>
        </w:rPr>
      </w:pPr>
    </w:p>
    <w:p w14:paraId="42155D4F" w14:textId="77777777" w:rsidR="0040146A" w:rsidRPr="0040146A" w:rsidRDefault="0040146A" w:rsidP="0040146A">
      <w:pPr>
        <w:pStyle w:val="ListParagraph"/>
        <w:numPr>
          <w:ilvl w:val="0"/>
          <w:numId w:val="6"/>
        </w:numPr>
        <w:tabs>
          <w:tab w:val="left" w:pos="820"/>
          <w:tab w:val="left" w:pos="821"/>
        </w:tabs>
        <w:ind w:hanging="294"/>
      </w:pPr>
      <w:r w:rsidRPr="0040146A">
        <w:t>Direct and immediate</w:t>
      </w:r>
      <w:r w:rsidRPr="0040146A">
        <w:rPr>
          <w:spacing w:val="-1"/>
        </w:rPr>
        <w:t xml:space="preserve"> </w:t>
      </w:r>
      <w:r w:rsidRPr="0040146A">
        <w:t xml:space="preserve">factors- conversion of all currency amount to Euros, with associated communication requirements and costs; some aspects of benefit design (e.g., increases in line with a consumer price or earnings index) had to be reviewed. </w:t>
      </w:r>
    </w:p>
    <w:p w14:paraId="48A97ABD" w14:textId="77777777" w:rsidR="0040146A" w:rsidRPr="0040146A" w:rsidRDefault="0040146A" w:rsidP="0040146A">
      <w:pPr>
        <w:pStyle w:val="ListParagraph"/>
        <w:numPr>
          <w:ilvl w:val="0"/>
          <w:numId w:val="6"/>
        </w:numPr>
        <w:tabs>
          <w:tab w:val="left" w:pos="820"/>
          <w:tab w:val="left" w:pos="821"/>
        </w:tabs>
        <w:spacing w:before="2" w:line="229" w:lineRule="exact"/>
        <w:ind w:hanging="294"/>
      </w:pPr>
      <w:r w:rsidRPr="0040146A">
        <w:t>Indirect and long-term</w:t>
      </w:r>
      <w:r w:rsidRPr="0040146A">
        <w:rPr>
          <w:spacing w:val="-3"/>
        </w:rPr>
        <w:t xml:space="preserve"> </w:t>
      </w:r>
      <w:r w:rsidRPr="0040146A">
        <w:t xml:space="preserve">factors-included the reduction in interest rates and inflation in the EU leading to a real cost increase for defined benefit plans, accelerating the trend to defined contribution designs. Also continued compliance with the EMU criteria has increased pressure on Social Security systems. Leading to greater encouragement of voluntary provision by employers and individuals. </w:t>
      </w:r>
    </w:p>
    <w:p w14:paraId="28D672BD" w14:textId="77777777" w:rsidR="0040146A" w:rsidRPr="0040146A" w:rsidRDefault="0040146A" w:rsidP="0040146A">
      <w:pPr>
        <w:pStyle w:val="ListParagraph"/>
        <w:numPr>
          <w:ilvl w:val="0"/>
          <w:numId w:val="6"/>
        </w:numPr>
        <w:tabs>
          <w:tab w:val="left" w:pos="820"/>
          <w:tab w:val="left" w:pos="821"/>
        </w:tabs>
        <w:spacing w:line="229" w:lineRule="exact"/>
        <w:ind w:hanging="294"/>
      </w:pPr>
      <w:r w:rsidRPr="0040146A">
        <w:t>Absence of currency</w:t>
      </w:r>
      <w:r w:rsidRPr="0040146A">
        <w:rPr>
          <w:spacing w:val="-3"/>
        </w:rPr>
        <w:t xml:space="preserve"> </w:t>
      </w:r>
      <w:r w:rsidRPr="0040146A">
        <w:t xml:space="preserve">risk- the fact that there is now no currency risk for a Eurozone plan to invest in other Eurozone countries had significantly reduced (but by no means eliminated) the ‘domestic bias in Eurozone plans i.e.; the tendency for pension plans it invest disproportionate amounts of their assets in the home market. </w:t>
      </w:r>
    </w:p>
    <w:p w14:paraId="45FC7A7A" w14:textId="77777777" w:rsidR="0040146A" w:rsidRPr="0040146A" w:rsidRDefault="0040146A" w:rsidP="0040146A">
      <w:pPr>
        <w:pStyle w:val="BodyText"/>
        <w:spacing w:before="11"/>
        <w:rPr>
          <w:sz w:val="22"/>
          <w:szCs w:val="22"/>
        </w:rPr>
      </w:pPr>
    </w:p>
    <w:p w14:paraId="01F36E8B" w14:textId="77777777" w:rsidR="0040146A" w:rsidRPr="0040146A" w:rsidRDefault="0040146A" w:rsidP="0040146A">
      <w:pPr>
        <w:pStyle w:val="BodyText"/>
        <w:ind w:left="527"/>
        <w:rPr>
          <w:sz w:val="22"/>
          <w:szCs w:val="22"/>
        </w:rPr>
      </w:pPr>
      <w:r w:rsidRPr="0040146A">
        <w:rPr>
          <w:sz w:val="22"/>
          <w:szCs w:val="22"/>
        </w:rPr>
        <w:t>(Relevant section is Part 12, Chapter 1.3.)</w:t>
      </w:r>
    </w:p>
    <w:p w14:paraId="54902D65" w14:textId="77777777" w:rsidR="00DD607B" w:rsidRPr="00DD607B" w:rsidRDefault="00DD607B" w:rsidP="00DD607B">
      <w:pPr>
        <w:pStyle w:val="BodyText"/>
        <w:rPr>
          <w:b/>
          <w:sz w:val="22"/>
          <w:szCs w:val="22"/>
        </w:rPr>
      </w:pPr>
    </w:p>
    <w:p w14:paraId="3A2A632B" w14:textId="77777777" w:rsidR="00DD607B" w:rsidRPr="00DD607B" w:rsidRDefault="00DD607B" w:rsidP="00DD607B">
      <w:pPr>
        <w:pStyle w:val="BodyText"/>
        <w:rPr>
          <w:b/>
          <w:sz w:val="22"/>
          <w:szCs w:val="22"/>
        </w:rPr>
      </w:pPr>
    </w:p>
    <w:p w14:paraId="072B3C8B" w14:textId="77777777" w:rsidR="00DD607B" w:rsidRPr="00DD607B" w:rsidRDefault="00DD607B" w:rsidP="00DD607B">
      <w:pPr>
        <w:pStyle w:val="BodyText"/>
        <w:rPr>
          <w:b/>
          <w:sz w:val="22"/>
          <w:szCs w:val="22"/>
        </w:rPr>
      </w:pPr>
    </w:p>
    <w:p w14:paraId="20BE64C2" w14:textId="77777777" w:rsidR="00DD607B" w:rsidRPr="00DD607B" w:rsidRDefault="00DD607B" w:rsidP="00DD607B">
      <w:pPr>
        <w:pStyle w:val="BodyText"/>
        <w:rPr>
          <w:b/>
          <w:sz w:val="22"/>
          <w:szCs w:val="22"/>
        </w:rPr>
      </w:pPr>
    </w:p>
    <w:p w14:paraId="432C2C29" w14:textId="77777777" w:rsidR="00DD607B" w:rsidRPr="00DD607B" w:rsidRDefault="00DD607B" w:rsidP="00DD607B">
      <w:pPr>
        <w:pStyle w:val="BodyText"/>
        <w:tabs>
          <w:tab w:val="left" w:pos="4020"/>
        </w:tabs>
        <w:rPr>
          <w:b/>
          <w:sz w:val="22"/>
          <w:szCs w:val="22"/>
        </w:rPr>
      </w:pPr>
      <w:r w:rsidRPr="00DD607B">
        <w:rPr>
          <w:b/>
          <w:sz w:val="22"/>
          <w:szCs w:val="22"/>
        </w:rPr>
        <w:tab/>
      </w:r>
    </w:p>
    <w:p w14:paraId="10A6F7E4" w14:textId="77777777" w:rsidR="00DD607B" w:rsidRPr="00DD607B" w:rsidRDefault="00DD607B" w:rsidP="00DD607B">
      <w:pPr>
        <w:pStyle w:val="BodyText"/>
        <w:rPr>
          <w:b/>
          <w:sz w:val="22"/>
          <w:szCs w:val="22"/>
        </w:rPr>
      </w:pPr>
    </w:p>
    <w:p w14:paraId="708094E1" w14:textId="77777777" w:rsidR="00DD607B" w:rsidRPr="00DD607B" w:rsidRDefault="00DD607B" w:rsidP="00DD607B">
      <w:pPr>
        <w:pStyle w:val="BodyText"/>
        <w:rPr>
          <w:b/>
          <w:sz w:val="22"/>
          <w:szCs w:val="22"/>
        </w:rPr>
      </w:pPr>
    </w:p>
    <w:p w14:paraId="0FDC7EA4" w14:textId="77777777" w:rsidR="00DD607B" w:rsidRPr="00DD607B" w:rsidRDefault="00DD607B" w:rsidP="00DD607B">
      <w:pPr>
        <w:pStyle w:val="BodyText"/>
        <w:rPr>
          <w:b/>
          <w:sz w:val="22"/>
          <w:szCs w:val="22"/>
        </w:rPr>
      </w:pPr>
    </w:p>
    <w:p w14:paraId="18F319A5" w14:textId="77777777" w:rsidR="00DD607B" w:rsidRPr="00DD607B" w:rsidRDefault="00DD607B" w:rsidP="00DD607B">
      <w:pPr>
        <w:pStyle w:val="BodyText"/>
        <w:rPr>
          <w:b/>
          <w:sz w:val="22"/>
          <w:szCs w:val="22"/>
        </w:rPr>
      </w:pPr>
    </w:p>
    <w:p w14:paraId="412B8E08" w14:textId="77777777" w:rsidR="00DD607B" w:rsidRPr="00DD607B" w:rsidRDefault="00DD607B" w:rsidP="00DD607B">
      <w:pPr>
        <w:pStyle w:val="BodyText"/>
        <w:rPr>
          <w:b/>
          <w:sz w:val="22"/>
          <w:szCs w:val="22"/>
        </w:rPr>
      </w:pPr>
    </w:p>
    <w:p w14:paraId="3EF4A07F" w14:textId="77777777" w:rsidR="00DD607B" w:rsidRPr="00DD607B" w:rsidRDefault="00DD607B" w:rsidP="00DD607B">
      <w:pPr>
        <w:pStyle w:val="BodyText"/>
        <w:spacing w:before="5"/>
        <w:rPr>
          <w:b/>
          <w:sz w:val="22"/>
          <w:szCs w:val="22"/>
        </w:rPr>
      </w:pPr>
    </w:p>
    <w:p w14:paraId="07C6B230" w14:textId="77777777" w:rsidR="000A1217" w:rsidRPr="00DD607B" w:rsidRDefault="000A1217"/>
    <w:p w14:paraId="0558C2F2" w14:textId="281EAF80" w:rsidR="00DD607B" w:rsidRPr="00DD607B" w:rsidRDefault="00DD607B" w:rsidP="00DD607B">
      <w:pPr>
        <w:tabs>
          <w:tab w:val="left" w:pos="1695"/>
          <w:tab w:val="right" w:pos="9717"/>
        </w:tabs>
      </w:pPr>
      <w:r w:rsidRPr="00DD607B">
        <w:tab/>
      </w:r>
      <w:r w:rsidRPr="00DD607B">
        <w:tab/>
      </w:r>
    </w:p>
    <w:sectPr w:rsidR="00DD607B" w:rsidRPr="00DD607B" w:rsidSect="00DD607B">
      <w:footerReference w:type="default" r:id="rId8"/>
      <w:pgSz w:w="11910" w:h="16840"/>
      <w:pgMar w:top="140" w:right="853"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C42A" w14:textId="77777777" w:rsidR="00DD607B" w:rsidRDefault="00DD607B" w:rsidP="00DD607B">
      <w:r>
        <w:separator/>
      </w:r>
    </w:p>
  </w:endnote>
  <w:endnote w:type="continuationSeparator" w:id="0">
    <w:p w14:paraId="052F07FF" w14:textId="77777777" w:rsidR="00DD607B" w:rsidRDefault="00DD607B" w:rsidP="00DD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1F80" w14:textId="47102AF6" w:rsidR="00DD607B" w:rsidRDefault="00DD607B" w:rsidP="00DD607B">
    <w:pPr>
      <w:tabs>
        <w:tab w:val="left" w:pos="6943"/>
      </w:tabs>
      <w:spacing w:before="68"/>
      <w:ind w:left="100"/>
      <w:rPr>
        <w:sz w:val="16"/>
      </w:rPr>
    </w:pPr>
    <w:r>
      <w:rPr>
        <w:sz w:val="16"/>
      </w:rPr>
      <w:t>Core Unit 1B</w:t>
    </w:r>
    <w:r>
      <w:rPr>
        <w:spacing w:val="-5"/>
        <w:sz w:val="16"/>
      </w:rPr>
      <w:t xml:space="preserve"> </w:t>
    </w:r>
    <w:r>
      <w:rPr>
        <w:sz w:val="16"/>
      </w:rPr>
      <w:t>Assignment</w:t>
    </w:r>
    <w:r>
      <w:rPr>
        <w:spacing w:val="-2"/>
        <w:sz w:val="16"/>
      </w:rPr>
      <w:t xml:space="preserve"> </w:t>
    </w:r>
    <w:r>
      <w:rPr>
        <w:sz w:val="16"/>
      </w:rPr>
      <w:t>4</w:t>
    </w:r>
    <w:r>
      <w:rPr>
        <w:sz w:val="16"/>
      </w:rPr>
      <w:tab/>
    </w:r>
  </w:p>
  <w:p w14:paraId="4287365C" w14:textId="77777777" w:rsidR="00DD607B" w:rsidRDefault="00DD607B" w:rsidP="00DD607B">
    <w:pPr>
      <w:spacing w:before="28"/>
      <w:ind w:left="100"/>
      <w:rPr>
        <w:sz w:val="16"/>
      </w:rPr>
    </w:pPr>
    <w:r>
      <w:rPr>
        <w:sz w:val="16"/>
      </w:rPr>
      <w:t>© The Pensions Management Institute 2023</w:t>
    </w:r>
  </w:p>
  <w:p w14:paraId="2A0DD4EC" w14:textId="64B9CD91" w:rsidR="00DD607B" w:rsidRDefault="00DD607B">
    <w:pPr>
      <w:pStyle w:val="Footer"/>
    </w:pPr>
  </w:p>
  <w:p w14:paraId="6FBAFAA0" w14:textId="77777777" w:rsidR="00DD607B" w:rsidRDefault="00DD6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99B3" w14:textId="77777777" w:rsidR="00DD607B" w:rsidRDefault="00DD607B" w:rsidP="00DD607B">
      <w:r>
        <w:separator/>
      </w:r>
    </w:p>
  </w:footnote>
  <w:footnote w:type="continuationSeparator" w:id="0">
    <w:p w14:paraId="54374ADF" w14:textId="77777777" w:rsidR="00DD607B" w:rsidRDefault="00DD607B" w:rsidP="00DD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E7E"/>
    <w:multiLevelType w:val="hybridMultilevel"/>
    <w:tmpl w:val="E948F03E"/>
    <w:lvl w:ilvl="0" w:tplc="134E1D3C">
      <w:start w:val="1"/>
      <w:numFmt w:val="decimal"/>
      <w:lvlText w:val="%1."/>
      <w:lvlJc w:val="left"/>
      <w:pPr>
        <w:ind w:left="460" w:hanging="360"/>
        <w:jc w:val="left"/>
      </w:pPr>
      <w:rPr>
        <w:rFonts w:hint="default"/>
        <w:b/>
        <w:bCs/>
        <w:spacing w:val="-1"/>
        <w:w w:val="99"/>
        <w:lang w:val="en-US" w:eastAsia="en-US" w:bidi="ar-SA"/>
      </w:rPr>
    </w:lvl>
    <w:lvl w:ilvl="1" w:tplc="0B3E956E">
      <w:numFmt w:val="bullet"/>
      <w:lvlText w:val=""/>
      <w:lvlJc w:val="left"/>
      <w:pPr>
        <w:ind w:left="820" w:hanging="293"/>
      </w:pPr>
      <w:rPr>
        <w:rFonts w:ascii="Symbol" w:eastAsia="Symbol" w:hAnsi="Symbol" w:cs="Symbol" w:hint="default"/>
        <w:w w:val="100"/>
        <w:sz w:val="18"/>
        <w:szCs w:val="18"/>
        <w:lang w:val="en-US" w:eastAsia="en-US" w:bidi="ar-SA"/>
      </w:rPr>
    </w:lvl>
    <w:lvl w:ilvl="2" w:tplc="305EF69E">
      <w:numFmt w:val="bullet"/>
      <w:lvlText w:val="•"/>
      <w:lvlJc w:val="left"/>
      <w:pPr>
        <w:ind w:left="820" w:hanging="293"/>
      </w:pPr>
      <w:rPr>
        <w:rFonts w:hint="default"/>
        <w:lang w:val="en-US" w:eastAsia="en-US" w:bidi="ar-SA"/>
      </w:rPr>
    </w:lvl>
    <w:lvl w:ilvl="3" w:tplc="D06447B6">
      <w:numFmt w:val="bullet"/>
      <w:lvlText w:val="•"/>
      <w:lvlJc w:val="left"/>
      <w:pPr>
        <w:ind w:left="8420" w:hanging="293"/>
      </w:pPr>
      <w:rPr>
        <w:rFonts w:hint="default"/>
        <w:lang w:val="en-US" w:eastAsia="en-US" w:bidi="ar-SA"/>
      </w:rPr>
    </w:lvl>
    <w:lvl w:ilvl="4" w:tplc="96A2623A">
      <w:numFmt w:val="bullet"/>
      <w:lvlText w:val="•"/>
      <w:lvlJc w:val="left"/>
      <w:pPr>
        <w:ind w:left="8185" w:hanging="293"/>
      </w:pPr>
      <w:rPr>
        <w:rFonts w:hint="default"/>
        <w:lang w:val="en-US" w:eastAsia="en-US" w:bidi="ar-SA"/>
      </w:rPr>
    </w:lvl>
    <w:lvl w:ilvl="5" w:tplc="DB18C9D2">
      <w:numFmt w:val="bullet"/>
      <w:lvlText w:val="•"/>
      <w:lvlJc w:val="left"/>
      <w:pPr>
        <w:ind w:left="7951" w:hanging="293"/>
      </w:pPr>
      <w:rPr>
        <w:rFonts w:hint="default"/>
        <w:lang w:val="en-US" w:eastAsia="en-US" w:bidi="ar-SA"/>
      </w:rPr>
    </w:lvl>
    <w:lvl w:ilvl="6" w:tplc="1B200050">
      <w:numFmt w:val="bullet"/>
      <w:lvlText w:val="•"/>
      <w:lvlJc w:val="left"/>
      <w:pPr>
        <w:ind w:left="7717" w:hanging="293"/>
      </w:pPr>
      <w:rPr>
        <w:rFonts w:hint="default"/>
        <w:lang w:val="en-US" w:eastAsia="en-US" w:bidi="ar-SA"/>
      </w:rPr>
    </w:lvl>
    <w:lvl w:ilvl="7" w:tplc="6EBC9A64">
      <w:numFmt w:val="bullet"/>
      <w:lvlText w:val="•"/>
      <w:lvlJc w:val="left"/>
      <w:pPr>
        <w:ind w:left="7482" w:hanging="293"/>
      </w:pPr>
      <w:rPr>
        <w:rFonts w:hint="default"/>
        <w:lang w:val="en-US" w:eastAsia="en-US" w:bidi="ar-SA"/>
      </w:rPr>
    </w:lvl>
    <w:lvl w:ilvl="8" w:tplc="7DBAA914">
      <w:numFmt w:val="bullet"/>
      <w:lvlText w:val="•"/>
      <w:lvlJc w:val="left"/>
      <w:pPr>
        <w:ind w:left="7248" w:hanging="293"/>
      </w:pPr>
      <w:rPr>
        <w:rFonts w:hint="default"/>
        <w:lang w:val="en-US" w:eastAsia="en-US" w:bidi="ar-SA"/>
      </w:rPr>
    </w:lvl>
  </w:abstractNum>
  <w:abstractNum w:abstractNumId="1" w15:restartNumberingAfterBreak="0">
    <w:nsid w:val="16F3257A"/>
    <w:multiLevelType w:val="hybridMultilevel"/>
    <w:tmpl w:val="EF92531E"/>
    <w:lvl w:ilvl="0" w:tplc="28EE89D0">
      <w:numFmt w:val="bullet"/>
      <w:lvlText w:val=""/>
      <w:lvlJc w:val="left"/>
      <w:pPr>
        <w:ind w:left="820" w:hanging="293"/>
      </w:pPr>
      <w:rPr>
        <w:rFonts w:ascii="Symbol" w:eastAsia="Symbol" w:hAnsi="Symbol" w:cs="Symbol" w:hint="default"/>
        <w:w w:val="100"/>
        <w:sz w:val="18"/>
        <w:szCs w:val="18"/>
        <w:lang w:val="en-US" w:eastAsia="en-US" w:bidi="ar-SA"/>
      </w:rPr>
    </w:lvl>
    <w:lvl w:ilvl="1" w:tplc="85B4F49E">
      <w:numFmt w:val="bullet"/>
      <w:lvlText w:val="•"/>
      <w:lvlJc w:val="left"/>
      <w:pPr>
        <w:ind w:left="1636" w:hanging="293"/>
      </w:pPr>
      <w:rPr>
        <w:rFonts w:hint="default"/>
        <w:lang w:val="en-US" w:eastAsia="en-US" w:bidi="ar-SA"/>
      </w:rPr>
    </w:lvl>
    <w:lvl w:ilvl="2" w:tplc="E8BAEC12">
      <w:numFmt w:val="bullet"/>
      <w:lvlText w:val="•"/>
      <w:lvlJc w:val="left"/>
      <w:pPr>
        <w:ind w:left="2453" w:hanging="293"/>
      </w:pPr>
      <w:rPr>
        <w:rFonts w:hint="default"/>
        <w:lang w:val="en-US" w:eastAsia="en-US" w:bidi="ar-SA"/>
      </w:rPr>
    </w:lvl>
    <w:lvl w:ilvl="3" w:tplc="FCB6619C">
      <w:numFmt w:val="bullet"/>
      <w:lvlText w:val="•"/>
      <w:lvlJc w:val="left"/>
      <w:pPr>
        <w:ind w:left="3269" w:hanging="293"/>
      </w:pPr>
      <w:rPr>
        <w:rFonts w:hint="default"/>
        <w:lang w:val="en-US" w:eastAsia="en-US" w:bidi="ar-SA"/>
      </w:rPr>
    </w:lvl>
    <w:lvl w:ilvl="4" w:tplc="305E0480">
      <w:numFmt w:val="bullet"/>
      <w:lvlText w:val="•"/>
      <w:lvlJc w:val="left"/>
      <w:pPr>
        <w:ind w:left="4086" w:hanging="293"/>
      </w:pPr>
      <w:rPr>
        <w:rFonts w:hint="default"/>
        <w:lang w:val="en-US" w:eastAsia="en-US" w:bidi="ar-SA"/>
      </w:rPr>
    </w:lvl>
    <w:lvl w:ilvl="5" w:tplc="EB165954">
      <w:numFmt w:val="bullet"/>
      <w:lvlText w:val="•"/>
      <w:lvlJc w:val="left"/>
      <w:pPr>
        <w:ind w:left="4903" w:hanging="293"/>
      </w:pPr>
      <w:rPr>
        <w:rFonts w:hint="default"/>
        <w:lang w:val="en-US" w:eastAsia="en-US" w:bidi="ar-SA"/>
      </w:rPr>
    </w:lvl>
    <w:lvl w:ilvl="6" w:tplc="57908F56">
      <w:numFmt w:val="bullet"/>
      <w:lvlText w:val="•"/>
      <w:lvlJc w:val="left"/>
      <w:pPr>
        <w:ind w:left="5719" w:hanging="293"/>
      </w:pPr>
      <w:rPr>
        <w:rFonts w:hint="default"/>
        <w:lang w:val="en-US" w:eastAsia="en-US" w:bidi="ar-SA"/>
      </w:rPr>
    </w:lvl>
    <w:lvl w:ilvl="7" w:tplc="79703472">
      <w:numFmt w:val="bullet"/>
      <w:lvlText w:val="•"/>
      <w:lvlJc w:val="left"/>
      <w:pPr>
        <w:ind w:left="6536" w:hanging="293"/>
      </w:pPr>
      <w:rPr>
        <w:rFonts w:hint="default"/>
        <w:lang w:val="en-US" w:eastAsia="en-US" w:bidi="ar-SA"/>
      </w:rPr>
    </w:lvl>
    <w:lvl w:ilvl="8" w:tplc="71788508">
      <w:numFmt w:val="bullet"/>
      <w:lvlText w:val="•"/>
      <w:lvlJc w:val="left"/>
      <w:pPr>
        <w:ind w:left="7353" w:hanging="293"/>
      </w:pPr>
      <w:rPr>
        <w:rFonts w:hint="default"/>
        <w:lang w:val="en-US" w:eastAsia="en-US" w:bidi="ar-SA"/>
      </w:rPr>
    </w:lvl>
  </w:abstractNum>
  <w:abstractNum w:abstractNumId="2" w15:restartNumberingAfterBreak="0">
    <w:nsid w:val="22415892"/>
    <w:multiLevelType w:val="hybridMultilevel"/>
    <w:tmpl w:val="5C909168"/>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3" w15:restartNumberingAfterBreak="0">
    <w:nsid w:val="23117A3A"/>
    <w:multiLevelType w:val="hybridMultilevel"/>
    <w:tmpl w:val="517420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4E60ADC"/>
    <w:multiLevelType w:val="hybridMultilevel"/>
    <w:tmpl w:val="B35EAD6C"/>
    <w:lvl w:ilvl="0" w:tplc="7C1E1068">
      <w:numFmt w:val="bullet"/>
      <w:lvlText w:val=""/>
      <w:lvlJc w:val="left"/>
      <w:pPr>
        <w:ind w:left="527" w:hanging="360"/>
      </w:pPr>
      <w:rPr>
        <w:rFonts w:ascii="Symbol" w:eastAsia="Symbol" w:hAnsi="Symbol" w:cs="Symbol" w:hint="default"/>
        <w:w w:val="100"/>
        <w:sz w:val="18"/>
        <w:szCs w:val="18"/>
        <w:lang w:val="en-US" w:eastAsia="en-US" w:bidi="ar-SA"/>
      </w:rPr>
    </w:lvl>
    <w:lvl w:ilvl="1" w:tplc="C49418D2">
      <w:numFmt w:val="bullet"/>
      <w:lvlText w:val=""/>
      <w:lvlJc w:val="left"/>
      <w:pPr>
        <w:ind w:left="808" w:hanging="281"/>
      </w:pPr>
      <w:rPr>
        <w:rFonts w:ascii="Symbol" w:eastAsia="Symbol" w:hAnsi="Symbol" w:cs="Symbol" w:hint="default"/>
        <w:w w:val="100"/>
        <w:sz w:val="18"/>
        <w:szCs w:val="18"/>
        <w:lang w:val="en-US" w:eastAsia="en-US" w:bidi="ar-SA"/>
      </w:rPr>
    </w:lvl>
    <w:lvl w:ilvl="2" w:tplc="9684C8E2">
      <w:numFmt w:val="bullet"/>
      <w:lvlText w:val="•"/>
      <w:lvlJc w:val="left"/>
      <w:pPr>
        <w:ind w:left="1709" w:hanging="281"/>
      </w:pPr>
      <w:rPr>
        <w:rFonts w:hint="default"/>
        <w:lang w:val="en-US" w:eastAsia="en-US" w:bidi="ar-SA"/>
      </w:rPr>
    </w:lvl>
    <w:lvl w:ilvl="3" w:tplc="12C45720">
      <w:numFmt w:val="bullet"/>
      <w:lvlText w:val="•"/>
      <w:lvlJc w:val="left"/>
      <w:pPr>
        <w:ind w:left="2619" w:hanging="281"/>
      </w:pPr>
      <w:rPr>
        <w:rFonts w:hint="default"/>
        <w:lang w:val="en-US" w:eastAsia="en-US" w:bidi="ar-SA"/>
      </w:rPr>
    </w:lvl>
    <w:lvl w:ilvl="4" w:tplc="BF8E2158">
      <w:numFmt w:val="bullet"/>
      <w:lvlText w:val="•"/>
      <w:lvlJc w:val="left"/>
      <w:pPr>
        <w:ind w:left="3528" w:hanging="281"/>
      </w:pPr>
      <w:rPr>
        <w:rFonts w:hint="default"/>
        <w:lang w:val="en-US" w:eastAsia="en-US" w:bidi="ar-SA"/>
      </w:rPr>
    </w:lvl>
    <w:lvl w:ilvl="5" w:tplc="8CF8A274">
      <w:numFmt w:val="bullet"/>
      <w:lvlText w:val="•"/>
      <w:lvlJc w:val="left"/>
      <w:pPr>
        <w:ind w:left="4438" w:hanging="281"/>
      </w:pPr>
      <w:rPr>
        <w:rFonts w:hint="default"/>
        <w:lang w:val="en-US" w:eastAsia="en-US" w:bidi="ar-SA"/>
      </w:rPr>
    </w:lvl>
    <w:lvl w:ilvl="6" w:tplc="DF86B57A">
      <w:numFmt w:val="bullet"/>
      <w:lvlText w:val="•"/>
      <w:lvlJc w:val="left"/>
      <w:pPr>
        <w:ind w:left="5348" w:hanging="281"/>
      </w:pPr>
      <w:rPr>
        <w:rFonts w:hint="default"/>
        <w:lang w:val="en-US" w:eastAsia="en-US" w:bidi="ar-SA"/>
      </w:rPr>
    </w:lvl>
    <w:lvl w:ilvl="7" w:tplc="AD52CC58">
      <w:numFmt w:val="bullet"/>
      <w:lvlText w:val="•"/>
      <w:lvlJc w:val="left"/>
      <w:pPr>
        <w:ind w:left="6257" w:hanging="281"/>
      </w:pPr>
      <w:rPr>
        <w:rFonts w:hint="default"/>
        <w:lang w:val="en-US" w:eastAsia="en-US" w:bidi="ar-SA"/>
      </w:rPr>
    </w:lvl>
    <w:lvl w:ilvl="8" w:tplc="F080E0EA">
      <w:numFmt w:val="bullet"/>
      <w:lvlText w:val="•"/>
      <w:lvlJc w:val="left"/>
      <w:pPr>
        <w:ind w:left="7167" w:hanging="281"/>
      </w:pPr>
      <w:rPr>
        <w:rFonts w:hint="default"/>
        <w:lang w:val="en-US" w:eastAsia="en-US" w:bidi="ar-SA"/>
      </w:rPr>
    </w:lvl>
  </w:abstractNum>
  <w:abstractNum w:abstractNumId="5" w15:restartNumberingAfterBreak="0">
    <w:nsid w:val="38457DF1"/>
    <w:multiLevelType w:val="hybridMultilevel"/>
    <w:tmpl w:val="B164B75E"/>
    <w:lvl w:ilvl="0" w:tplc="33F0042E">
      <w:start w:val="1"/>
      <w:numFmt w:val="decimal"/>
      <w:lvlText w:val="%1."/>
      <w:lvlJc w:val="left"/>
      <w:pPr>
        <w:ind w:left="460" w:hanging="360"/>
        <w:jc w:val="left"/>
      </w:pPr>
      <w:rPr>
        <w:rFonts w:hint="default"/>
        <w:b/>
        <w:bCs/>
        <w:spacing w:val="-1"/>
        <w:w w:val="99"/>
        <w:lang w:val="en-US" w:eastAsia="en-US" w:bidi="ar-SA"/>
      </w:rPr>
    </w:lvl>
    <w:lvl w:ilvl="1" w:tplc="AD04278A">
      <w:numFmt w:val="bullet"/>
      <w:lvlText w:val="•"/>
      <w:lvlJc w:val="left"/>
      <w:pPr>
        <w:ind w:left="8420" w:hanging="360"/>
      </w:pPr>
      <w:rPr>
        <w:rFonts w:hint="default"/>
        <w:lang w:val="en-US" w:eastAsia="en-US" w:bidi="ar-SA"/>
      </w:rPr>
    </w:lvl>
    <w:lvl w:ilvl="2" w:tplc="307A44E2">
      <w:numFmt w:val="bullet"/>
      <w:lvlText w:val="•"/>
      <w:lvlJc w:val="left"/>
      <w:pPr>
        <w:ind w:left="8658" w:hanging="360"/>
      </w:pPr>
      <w:rPr>
        <w:rFonts w:hint="default"/>
        <w:lang w:val="en-US" w:eastAsia="en-US" w:bidi="ar-SA"/>
      </w:rPr>
    </w:lvl>
    <w:lvl w:ilvl="3" w:tplc="DFCEA724">
      <w:numFmt w:val="bullet"/>
      <w:lvlText w:val="•"/>
      <w:lvlJc w:val="left"/>
      <w:pPr>
        <w:ind w:left="8896" w:hanging="360"/>
      </w:pPr>
      <w:rPr>
        <w:rFonts w:hint="default"/>
        <w:lang w:val="en-US" w:eastAsia="en-US" w:bidi="ar-SA"/>
      </w:rPr>
    </w:lvl>
    <w:lvl w:ilvl="4" w:tplc="78C6CEE2">
      <w:numFmt w:val="bullet"/>
      <w:lvlText w:val="•"/>
      <w:lvlJc w:val="left"/>
      <w:pPr>
        <w:ind w:left="9135" w:hanging="360"/>
      </w:pPr>
      <w:rPr>
        <w:rFonts w:hint="default"/>
        <w:lang w:val="en-US" w:eastAsia="en-US" w:bidi="ar-SA"/>
      </w:rPr>
    </w:lvl>
    <w:lvl w:ilvl="5" w:tplc="43104F42">
      <w:numFmt w:val="bullet"/>
      <w:lvlText w:val="•"/>
      <w:lvlJc w:val="left"/>
      <w:pPr>
        <w:ind w:left="9373" w:hanging="360"/>
      </w:pPr>
      <w:rPr>
        <w:rFonts w:hint="default"/>
        <w:lang w:val="en-US" w:eastAsia="en-US" w:bidi="ar-SA"/>
      </w:rPr>
    </w:lvl>
    <w:lvl w:ilvl="6" w:tplc="0B96C7EA">
      <w:numFmt w:val="bullet"/>
      <w:lvlText w:val="•"/>
      <w:lvlJc w:val="left"/>
      <w:pPr>
        <w:ind w:left="9612" w:hanging="360"/>
      </w:pPr>
      <w:rPr>
        <w:rFonts w:hint="default"/>
        <w:lang w:val="en-US" w:eastAsia="en-US" w:bidi="ar-SA"/>
      </w:rPr>
    </w:lvl>
    <w:lvl w:ilvl="7" w:tplc="D5663C44">
      <w:numFmt w:val="bullet"/>
      <w:lvlText w:val="•"/>
      <w:lvlJc w:val="left"/>
      <w:pPr>
        <w:ind w:left="9850" w:hanging="360"/>
      </w:pPr>
      <w:rPr>
        <w:rFonts w:hint="default"/>
        <w:lang w:val="en-US" w:eastAsia="en-US" w:bidi="ar-SA"/>
      </w:rPr>
    </w:lvl>
    <w:lvl w:ilvl="8" w:tplc="6FA69A10">
      <w:numFmt w:val="bullet"/>
      <w:lvlText w:val="•"/>
      <w:lvlJc w:val="left"/>
      <w:pPr>
        <w:ind w:left="10089" w:hanging="360"/>
      </w:pPr>
      <w:rPr>
        <w:rFonts w:hint="default"/>
        <w:lang w:val="en-US" w:eastAsia="en-US" w:bidi="ar-SA"/>
      </w:rPr>
    </w:lvl>
  </w:abstractNum>
  <w:num w:numId="1" w16cid:durableId="1848666813">
    <w:abstractNumId w:val="5"/>
  </w:num>
  <w:num w:numId="2" w16cid:durableId="1229994721">
    <w:abstractNumId w:val="0"/>
  </w:num>
  <w:num w:numId="3" w16cid:durableId="956063437">
    <w:abstractNumId w:val="4"/>
  </w:num>
  <w:num w:numId="4" w16cid:durableId="374038901">
    <w:abstractNumId w:val="2"/>
  </w:num>
  <w:num w:numId="5" w16cid:durableId="1028219954">
    <w:abstractNumId w:val="3"/>
  </w:num>
  <w:num w:numId="6" w16cid:durableId="14983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7B"/>
    <w:rsid w:val="00056AC8"/>
    <w:rsid w:val="000A1217"/>
    <w:rsid w:val="0040146A"/>
    <w:rsid w:val="005523AF"/>
    <w:rsid w:val="0085011F"/>
    <w:rsid w:val="00916F57"/>
    <w:rsid w:val="00DD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2F0D"/>
  <w15:chartTrackingRefBased/>
  <w15:docId w15:val="{59F7AE27-03F7-481B-9767-7E6519EE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7B"/>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DD607B"/>
    <w:pPr>
      <w:spacing w:before="27"/>
      <w:ind w:left="1054" w:right="2648"/>
      <w:jc w:val="center"/>
      <w:outlineLvl w:val="0"/>
    </w:pPr>
    <w:rPr>
      <w:sz w:val="36"/>
      <w:szCs w:val="36"/>
    </w:rPr>
  </w:style>
  <w:style w:type="paragraph" w:styleId="Heading2">
    <w:name w:val="heading 2"/>
    <w:basedOn w:val="Normal"/>
    <w:link w:val="Heading2Char"/>
    <w:uiPriority w:val="9"/>
    <w:unhideWhenUsed/>
    <w:qFormat/>
    <w:rsid w:val="00DD607B"/>
    <w:pPr>
      <w:ind w:right="1695"/>
      <w:jc w:val="right"/>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7B"/>
    <w:rPr>
      <w:rFonts w:ascii="Carlito" w:eastAsia="Carlito" w:hAnsi="Carlito" w:cs="Carlito"/>
      <w:sz w:val="36"/>
      <w:szCs w:val="36"/>
      <w:lang w:val="en-US"/>
    </w:rPr>
  </w:style>
  <w:style w:type="character" w:customStyle="1" w:styleId="Heading2Char">
    <w:name w:val="Heading 2 Char"/>
    <w:basedOn w:val="DefaultParagraphFont"/>
    <w:link w:val="Heading2"/>
    <w:uiPriority w:val="9"/>
    <w:rsid w:val="00DD607B"/>
    <w:rPr>
      <w:rFonts w:ascii="Carlito" w:eastAsia="Carlito" w:hAnsi="Carlito" w:cs="Carlito"/>
      <w:b/>
      <w:bCs/>
      <w:sz w:val="18"/>
      <w:szCs w:val="18"/>
      <w:lang w:val="en-US"/>
    </w:rPr>
  </w:style>
  <w:style w:type="paragraph" w:styleId="BodyText">
    <w:name w:val="Body Text"/>
    <w:basedOn w:val="Normal"/>
    <w:link w:val="BodyTextChar"/>
    <w:uiPriority w:val="1"/>
    <w:qFormat/>
    <w:rsid w:val="00DD607B"/>
    <w:rPr>
      <w:sz w:val="18"/>
      <w:szCs w:val="18"/>
    </w:rPr>
  </w:style>
  <w:style w:type="character" w:customStyle="1" w:styleId="BodyTextChar">
    <w:name w:val="Body Text Char"/>
    <w:basedOn w:val="DefaultParagraphFont"/>
    <w:link w:val="BodyText"/>
    <w:uiPriority w:val="1"/>
    <w:rsid w:val="00DD607B"/>
    <w:rPr>
      <w:rFonts w:ascii="Carlito" w:eastAsia="Carlito" w:hAnsi="Carlito" w:cs="Carlito"/>
      <w:sz w:val="18"/>
      <w:szCs w:val="18"/>
      <w:lang w:val="en-US"/>
    </w:rPr>
  </w:style>
  <w:style w:type="paragraph" w:styleId="ListParagraph">
    <w:name w:val="List Paragraph"/>
    <w:basedOn w:val="Normal"/>
    <w:uiPriority w:val="1"/>
    <w:qFormat/>
    <w:rsid w:val="00DD607B"/>
    <w:pPr>
      <w:ind w:left="460" w:hanging="361"/>
    </w:pPr>
  </w:style>
  <w:style w:type="paragraph" w:styleId="Header">
    <w:name w:val="header"/>
    <w:basedOn w:val="Normal"/>
    <w:link w:val="HeaderChar"/>
    <w:uiPriority w:val="99"/>
    <w:unhideWhenUsed/>
    <w:rsid w:val="00DD607B"/>
    <w:pPr>
      <w:tabs>
        <w:tab w:val="center" w:pos="4513"/>
        <w:tab w:val="right" w:pos="9026"/>
      </w:tabs>
    </w:pPr>
  </w:style>
  <w:style w:type="character" w:customStyle="1" w:styleId="HeaderChar">
    <w:name w:val="Header Char"/>
    <w:basedOn w:val="DefaultParagraphFont"/>
    <w:link w:val="Header"/>
    <w:uiPriority w:val="99"/>
    <w:rsid w:val="00DD607B"/>
    <w:rPr>
      <w:rFonts w:ascii="Carlito" w:eastAsia="Carlito" w:hAnsi="Carlito" w:cs="Carlito"/>
      <w:lang w:val="en-US"/>
    </w:rPr>
  </w:style>
  <w:style w:type="paragraph" w:styleId="Footer">
    <w:name w:val="footer"/>
    <w:basedOn w:val="Normal"/>
    <w:link w:val="FooterChar"/>
    <w:uiPriority w:val="99"/>
    <w:unhideWhenUsed/>
    <w:rsid w:val="00DD607B"/>
    <w:pPr>
      <w:tabs>
        <w:tab w:val="center" w:pos="4513"/>
        <w:tab w:val="right" w:pos="9026"/>
      </w:tabs>
    </w:pPr>
  </w:style>
  <w:style w:type="character" w:customStyle="1" w:styleId="FooterChar">
    <w:name w:val="Footer Char"/>
    <w:basedOn w:val="DefaultParagraphFont"/>
    <w:link w:val="Footer"/>
    <w:uiPriority w:val="99"/>
    <w:rsid w:val="00DD607B"/>
    <w:rPr>
      <w:rFonts w:ascii="Carlito" w:eastAsia="Carlito" w:hAnsi="Carlito" w:cs="Carlito"/>
      <w:lang w:val="en-US"/>
    </w:rPr>
  </w:style>
  <w:style w:type="paragraph" w:styleId="NoSpacing">
    <w:name w:val="No Spacing"/>
    <w:uiPriority w:val="1"/>
    <w:qFormat/>
    <w:rsid w:val="00DD607B"/>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PMIqualifications</cp:lastModifiedBy>
  <cp:revision>3</cp:revision>
  <dcterms:created xsi:type="dcterms:W3CDTF">2023-06-01T15:45:00Z</dcterms:created>
  <dcterms:modified xsi:type="dcterms:W3CDTF">2023-06-08T09:50:00Z</dcterms:modified>
</cp:coreProperties>
</file>