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BA89" w14:textId="796A9E51" w:rsidR="000F4D5A" w:rsidRDefault="000F4D5A" w:rsidP="000F4D5A">
      <w:pPr>
        <w:spacing w:after="0"/>
        <w:jc w:val="right"/>
        <w:rPr>
          <w:lang w:val="en-US"/>
        </w:rPr>
      </w:pPr>
      <w:r>
        <w:rPr>
          <w:noProof/>
        </w:rPr>
        <w:drawing>
          <wp:anchor distT="0" distB="0" distL="114300" distR="114300" simplePos="0" relativeHeight="251659264" behindDoc="0" locked="0" layoutInCell="1" allowOverlap="1" wp14:anchorId="23A0EE89" wp14:editId="5B7522F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sidR="00FB5E99">
        <w:rPr>
          <w:lang w:val="en-US"/>
        </w:rPr>
        <w:t>Registered office:</w:t>
      </w:r>
    </w:p>
    <w:p w14:paraId="1C0874E9" w14:textId="231D5F47" w:rsidR="00FB5E99" w:rsidRDefault="00FB5E99" w:rsidP="000F4D5A">
      <w:pPr>
        <w:spacing w:after="0"/>
        <w:jc w:val="right"/>
        <w:rPr>
          <w:b/>
          <w:bCs/>
          <w:lang w:val="en-US"/>
        </w:rPr>
      </w:pPr>
      <w:r>
        <w:rPr>
          <w:lang w:val="en-US"/>
        </w:rPr>
        <w:t>6</w:t>
      </w:r>
      <w:r w:rsidRPr="00FB5E99">
        <w:rPr>
          <w:vertAlign w:val="superscript"/>
          <w:lang w:val="en-US"/>
        </w:rPr>
        <w:t>th</w:t>
      </w:r>
      <w:r>
        <w:rPr>
          <w:lang w:val="en-US"/>
        </w:rPr>
        <w:t xml:space="preserve"> Floor</w:t>
      </w:r>
    </w:p>
    <w:p w14:paraId="415FFF86" w14:textId="07174524" w:rsidR="000F4D5A" w:rsidRDefault="00FB5E99" w:rsidP="000F4D5A">
      <w:pPr>
        <w:spacing w:after="0"/>
        <w:jc w:val="right"/>
        <w:rPr>
          <w:b/>
          <w:bCs/>
          <w:lang w:val="en-US"/>
        </w:rPr>
      </w:pPr>
      <w:r>
        <w:rPr>
          <w:lang w:val="en-US"/>
        </w:rPr>
        <w:t>9 Appold Street</w:t>
      </w:r>
      <w:r w:rsidR="000F4D5A">
        <w:rPr>
          <w:lang w:val="en-US"/>
        </w:rPr>
        <w:t xml:space="preserve"> </w:t>
      </w:r>
    </w:p>
    <w:p w14:paraId="1ADA84EF" w14:textId="77777777" w:rsidR="000F4D5A" w:rsidRDefault="000F4D5A" w:rsidP="000F4D5A">
      <w:pPr>
        <w:spacing w:after="0"/>
        <w:jc w:val="right"/>
        <w:rPr>
          <w:b/>
          <w:bCs/>
          <w:lang w:val="en-US"/>
        </w:rPr>
      </w:pPr>
      <w:r>
        <w:rPr>
          <w:lang w:val="en-US"/>
        </w:rPr>
        <w:t xml:space="preserve">London </w:t>
      </w:r>
    </w:p>
    <w:p w14:paraId="7FA16B24" w14:textId="77777777" w:rsidR="00FB5E99" w:rsidRDefault="00FB5E99" w:rsidP="000F4D5A">
      <w:pPr>
        <w:spacing w:after="0"/>
        <w:jc w:val="right"/>
        <w:rPr>
          <w:lang w:val="en-US"/>
        </w:rPr>
      </w:pPr>
      <w:r w:rsidRPr="00FB5E99">
        <w:rPr>
          <w:lang w:val="en-US"/>
        </w:rPr>
        <w:t>EC2A 2AP</w:t>
      </w:r>
    </w:p>
    <w:p w14:paraId="15E581AC" w14:textId="16CADD88" w:rsidR="000F4D5A" w:rsidRDefault="000F4D5A" w:rsidP="000F4D5A">
      <w:pPr>
        <w:spacing w:after="0"/>
        <w:jc w:val="right"/>
        <w:rPr>
          <w:b/>
          <w:bCs/>
          <w:lang w:val="en-US"/>
        </w:rPr>
      </w:pPr>
      <w:r>
        <w:rPr>
          <w:lang w:val="en-US"/>
        </w:rPr>
        <w:t xml:space="preserve">T: +44 (0) 20 7247 1452 </w:t>
      </w:r>
    </w:p>
    <w:p w14:paraId="20AC5923" w14:textId="77777777" w:rsidR="000F4D5A" w:rsidRDefault="000F4D5A" w:rsidP="000F4D5A">
      <w:pPr>
        <w:spacing w:after="0"/>
        <w:jc w:val="right"/>
        <w:rPr>
          <w:b/>
          <w:bCs/>
          <w:lang w:val="en-US"/>
        </w:rPr>
      </w:pPr>
      <w:r>
        <w:rPr>
          <w:lang w:val="en-US"/>
        </w:rPr>
        <w:t>W: www.pensions-pmi.org.uk</w:t>
      </w:r>
    </w:p>
    <w:p w14:paraId="0EE4494B" w14:textId="77777777" w:rsidR="000F4D5A" w:rsidRDefault="000F4D5A" w:rsidP="000F4D5A">
      <w:pPr>
        <w:pStyle w:val="Default"/>
        <w:jc w:val="center"/>
        <w:rPr>
          <w:rFonts w:ascii="Neue Haas Grotesk Text Pro" w:hAnsi="Neue Haas Grotesk Text Pro"/>
          <w:sz w:val="36"/>
          <w:szCs w:val="36"/>
        </w:rPr>
      </w:pPr>
    </w:p>
    <w:p w14:paraId="1DEE4A80" w14:textId="77777777" w:rsidR="00A357D3" w:rsidRPr="000F4D5A" w:rsidRDefault="00A357D3" w:rsidP="00A357D3">
      <w:pPr>
        <w:pStyle w:val="Default"/>
        <w:jc w:val="center"/>
        <w:rPr>
          <w:sz w:val="22"/>
          <w:szCs w:val="22"/>
        </w:rPr>
      </w:pPr>
      <w:r w:rsidRPr="000F4D5A">
        <w:rPr>
          <w:sz w:val="22"/>
          <w:szCs w:val="22"/>
        </w:rPr>
        <w:t>Core Unit 4</w:t>
      </w:r>
    </w:p>
    <w:p w14:paraId="59ACC59F" w14:textId="77777777" w:rsidR="00A357D3" w:rsidRPr="000F4D5A" w:rsidRDefault="00A357D3" w:rsidP="00A357D3">
      <w:pPr>
        <w:pStyle w:val="Default"/>
        <w:jc w:val="center"/>
        <w:rPr>
          <w:sz w:val="22"/>
          <w:szCs w:val="22"/>
        </w:rPr>
      </w:pPr>
      <w:r w:rsidRPr="000F4D5A">
        <w:rPr>
          <w:sz w:val="22"/>
          <w:szCs w:val="22"/>
        </w:rPr>
        <w:t>Financing and Investing for Retirement Provision</w:t>
      </w:r>
    </w:p>
    <w:p w14:paraId="54265CA5" w14:textId="77777777" w:rsidR="00A357D3" w:rsidRPr="000F4D5A" w:rsidRDefault="00A357D3" w:rsidP="00A357D3">
      <w:pPr>
        <w:pStyle w:val="Default"/>
        <w:jc w:val="center"/>
        <w:rPr>
          <w:sz w:val="22"/>
          <w:szCs w:val="22"/>
        </w:rPr>
      </w:pPr>
    </w:p>
    <w:p w14:paraId="5EBD17C2" w14:textId="77777777" w:rsidR="00A357D3" w:rsidRPr="000F4D5A" w:rsidRDefault="00A357D3" w:rsidP="00A357D3">
      <w:pPr>
        <w:pStyle w:val="Default"/>
        <w:jc w:val="center"/>
        <w:rPr>
          <w:sz w:val="22"/>
          <w:szCs w:val="22"/>
        </w:rPr>
      </w:pPr>
      <w:r w:rsidRPr="000F4D5A">
        <w:rPr>
          <w:sz w:val="22"/>
          <w:szCs w:val="22"/>
        </w:rPr>
        <w:t>Assignment 1</w:t>
      </w:r>
    </w:p>
    <w:p w14:paraId="174543F2" w14:textId="77777777" w:rsidR="00A357D3" w:rsidRPr="000F4D5A" w:rsidRDefault="00A357D3" w:rsidP="00A357D3">
      <w:pPr>
        <w:pStyle w:val="Default"/>
        <w:jc w:val="center"/>
        <w:rPr>
          <w:sz w:val="22"/>
          <w:szCs w:val="22"/>
        </w:rPr>
      </w:pPr>
      <w:r w:rsidRPr="000F4D5A">
        <w:rPr>
          <w:i/>
          <w:iCs/>
          <w:sz w:val="22"/>
          <w:szCs w:val="22"/>
        </w:rPr>
        <w:t>(Part 1 – Funding and Taxation)</w:t>
      </w:r>
    </w:p>
    <w:p w14:paraId="574C65EB" w14:textId="0F507C46" w:rsidR="00A357D3" w:rsidRPr="000F4D5A" w:rsidRDefault="00A357D3" w:rsidP="00A357D3">
      <w:pPr>
        <w:jc w:val="center"/>
        <w:rPr>
          <w:rFonts w:ascii="Calibri" w:hAnsi="Calibri" w:cs="Calibri"/>
          <w:i/>
          <w:iCs/>
        </w:rPr>
      </w:pPr>
      <w:r w:rsidRPr="000F4D5A">
        <w:rPr>
          <w:rFonts w:ascii="Calibri" w:hAnsi="Calibri" w:cs="Calibri"/>
          <w:i/>
          <w:iCs/>
        </w:rPr>
        <w:t xml:space="preserve">Recommended Time: </w:t>
      </w:r>
      <w:r w:rsidR="009A4891" w:rsidRPr="000F4D5A">
        <w:rPr>
          <w:rFonts w:ascii="Calibri" w:hAnsi="Calibri" w:cs="Calibri"/>
          <w:i/>
          <w:iCs/>
        </w:rPr>
        <w:t>2</w:t>
      </w:r>
      <w:r w:rsidRPr="000F4D5A">
        <w:rPr>
          <w:rFonts w:ascii="Calibri" w:hAnsi="Calibri" w:cs="Calibri"/>
          <w:i/>
          <w:iCs/>
        </w:rPr>
        <w:t xml:space="preserve"> hour</w:t>
      </w:r>
      <w:r w:rsidR="009A4891" w:rsidRPr="000F4D5A">
        <w:rPr>
          <w:rFonts w:ascii="Calibri" w:hAnsi="Calibri" w:cs="Calibri"/>
          <w:i/>
          <w:iCs/>
        </w:rPr>
        <w:t>s</w:t>
      </w:r>
    </w:p>
    <w:p w14:paraId="28EEBB65" w14:textId="77777777" w:rsidR="00A357D3" w:rsidRPr="000F4D5A" w:rsidRDefault="00A357D3" w:rsidP="00A357D3">
      <w:pPr>
        <w:jc w:val="center"/>
        <w:rPr>
          <w:rFonts w:ascii="Calibri" w:hAnsi="Calibri" w:cs="Calibri"/>
          <w:i/>
          <w:iCs/>
        </w:rPr>
      </w:pPr>
    </w:p>
    <w:p w14:paraId="6997CF0E"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 xml:space="preserve">What are “contract-based” pension arrangements and what types do employers typically operate?     </w:t>
      </w:r>
    </w:p>
    <w:p w14:paraId="7FEF4338" w14:textId="60337A70" w:rsidR="00A357D3" w:rsidRPr="000F4D5A" w:rsidRDefault="00A357D3" w:rsidP="00A357D3">
      <w:pPr>
        <w:spacing w:after="0"/>
        <w:jc w:val="right"/>
        <w:rPr>
          <w:rFonts w:ascii="Calibri" w:hAnsi="Calibri" w:cs="Calibri"/>
          <w:b/>
          <w:bCs/>
        </w:rPr>
      </w:pPr>
      <w:r w:rsidRPr="000F4D5A">
        <w:rPr>
          <w:rFonts w:ascii="Calibri" w:hAnsi="Calibri" w:cs="Calibri"/>
          <w:b/>
          <w:bCs/>
        </w:rPr>
        <w:t xml:space="preserve">15 marks   </w:t>
      </w:r>
    </w:p>
    <w:p w14:paraId="18F2B435" w14:textId="77777777" w:rsidR="00A357D3" w:rsidRPr="000F4D5A" w:rsidRDefault="00A357D3" w:rsidP="00A357D3">
      <w:pPr>
        <w:spacing w:after="0"/>
        <w:ind w:firstLine="360"/>
        <w:rPr>
          <w:rFonts w:ascii="Calibri" w:hAnsi="Calibri" w:cs="Calibri"/>
          <w:b/>
          <w:bCs/>
        </w:rPr>
      </w:pPr>
      <w:r w:rsidRPr="000F4D5A">
        <w:rPr>
          <w:rFonts w:ascii="Calibri" w:hAnsi="Calibri" w:cs="Calibri"/>
          <w:b/>
          <w:bCs/>
        </w:rPr>
        <w:t xml:space="preserve"> </w:t>
      </w:r>
    </w:p>
    <w:p w14:paraId="31F80848"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1.2.2.</w:t>
      </w:r>
      <w:r w:rsidRPr="000F4D5A">
        <w:rPr>
          <w:rFonts w:ascii="Calibri" w:hAnsi="Calibri" w:cs="Calibri"/>
          <w:b/>
          <w:bCs/>
        </w:rPr>
        <w:t xml:space="preserve">        </w:t>
      </w:r>
    </w:p>
    <w:p w14:paraId="13628062" w14:textId="77777777" w:rsidR="00A357D3" w:rsidRPr="000F4D5A" w:rsidRDefault="00A357D3" w:rsidP="00A357D3">
      <w:pPr>
        <w:spacing w:after="0"/>
        <w:rPr>
          <w:rFonts w:ascii="Calibri" w:hAnsi="Calibri" w:cs="Calibri"/>
        </w:rPr>
      </w:pPr>
      <w:r w:rsidRPr="000F4D5A">
        <w:rPr>
          <w:rFonts w:ascii="Calibri" w:hAnsi="Calibri" w:cs="Calibri"/>
        </w:rPr>
        <w:t>Format: descriptive prose in clear paragraphs</w:t>
      </w:r>
    </w:p>
    <w:p w14:paraId="44E3FB5B"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792E9E08"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Contract between the individual and the provider</w:t>
      </w:r>
    </w:p>
    <w:p w14:paraId="0C71A028"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 xml:space="preserve">Governing documentation can be set up under irrevocable trusts or, if the provider is an authorised insurance company or friendly society, can be established by board resolution or deed poll. - </w:t>
      </w:r>
    </w:p>
    <w:p w14:paraId="7E19CCC2"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Stakeholder pensions - a type of personal pension originally set up as a low-cost employee financed arrangement where the employer did not provide any alternative.</w:t>
      </w:r>
    </w:p>
    <w:p w14:paraId="3ED13174"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SIPPs details to cover include that they are personal pensions that provide much greater investment flexibility than other types.</w:t>
      </w:r>
    </w:p>
    <w:p w14:paraId="7A62F618" w14:textId="77777777" w:rsidR="00A357D3" w:rsidRPr="000F4D5A" w:rsidRDefault="00A357D3" w:rsidP="00A357D3">
      <w:pPr>
        <w:spacing w:after="0"/>
        <w:rPr>
          <w:rFonts w:ascii="Calibri" w:hAnsi="Calibri" w:cs="Calibri"/>
        </w:rPr>
      </w:pPr>
    </w:p>
    <w:p w14:paraId="4187F772"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There are two ways in which tax relief on employees’ pension contributions operate. Describe the following:</w:t>
      </w:r>
    </w:p>
    <w:p w14:paraId="182CACA7" w14:textId="77777777" w:rsidR="00A357D3" w:rsidRPr="000F4D5A" w:rsidRDefault="00A357D3" w:rsidP="00A357D3">
      <w:pPr>
        <w:pStyle w:val="ListParagraph"/>
        <w:numPr>
          <w:ilvl w:val="0"/>
          <w:numId w:val="5"/>
        </w:numPr>
        <w:spacing w:after="0"/>
        <w:rPr>
          <w:rFonts w:ascii="Calibri" w:hAnsi="Calibri" w:cs="Calibri"/>
          <w:b/>
          <w:bCs/>
        </w:rPr>
      </w:pPr>
      <w:r w:rsidRPr="000F4D5A">
        <w:rPr>
          <w:rFonts w:ascii="Calibri" w:hAnsi="Calibri" w:cs="Calibri"/>
          <w:b/>
          <w:bCs/>
        </w:rPr>
        <w:t>Each method and how the two methods differ</w:t>
      </w:r>
    </w:p>
    <w:p w14:paraId="04E84D27" w14:textId="77777777" w:rsidR="00A357D3" w:rsidRPr="000F4D5A" w:rsidRDefault="00A357D3" w:rsidP="00A357D3">
      <w:pPr>
        <w:pStyle w:val="ListParagraph"/>
        <w:numPr>
          <w:ilvl w:val="0"/>
          <w:numId w:val="5"/>
        </w:numPr>
        <w:spacing w:after="0"/>
        <w:rPr>
          <w:rFonts w:ascii="Calibri" w:hAnsi="Calibri" w:cs="Calibri"/>
          <w:b/>
          <w:bCs/>
        </w:rPr>
      </w:pPr>
      <w:r w:rsidRPr="000F4D5A">
        <w:rPr>
          <w:rFonts w:ascii="Calibri" w:hAnsi="Calibri" w:cs="Calibri"/>
          <w:b/>
          <w:bCs/>
        </w:rPr>
        <w:t>The advantages of operating a salary sacrifice arrangement</w:t>
      </w:r>
    </w:p>
    <w:p w14:paraId="5EE47369" w14:textId="6B88D3F0" w:rsidR="00A357D3" w:rsidRPr="000F4D5A" w:rsidRDefault="00A357D3" w:rsidP="00A357D3">
      <w:pPr>
        <w:spacing w:after="0"/>
        <w:jc w:val="right"/>
        <w:rPr>
          <w:rFonts w:ascii="Calibri" w:hAnsi="Calibri" w:cs="Calibri"/>
          <w:b/>
          <w:bCs/>
        </w:rPr>
      </w:pPr>
      <w:r w:rsidRPr="000F4D5A">
        <w:rPr>
          <w:rFonts w:ascii="Calibri" w:hAnsi="Calibri" w:cs="Calibri"/>
          <w:b/>
          <w:bCs/>
        </w:rPr>
        <w:t>15 marks</w:t>
      </w:r>
    </w:p>
    <w:p w14:paraId="7D2C5D5B" w14:textId="77777777" w:rsidR="00A357D3" w:rsidRPr="000F4D5A" w:rsidRDefault="00A357D3" w:rsidP="00A357D3">
      <w:pPr>
        <w:spacing w:after="0"/>
        <w:ind w:firstLine="360"/>
        <w:rPr>
          <w:rFonts w:ascii="Calibri" w:hAnsi="Calibri" w:cs="Calibri"/>
          <w:b/>
          <w:bCs/>
        </w:rPr>
      </w:pPr>
    </w:p>
    <w:p w14:paraId="2A066093"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2.2.</w:t>
      </w:r>
      <w:r w:rsidRPr="000F4D5A">
        <w:rPr>
          <w:rFonts w:ascii="Calibri" w:hAnsi="Calibri" w:cs="Calibri"/>
          <w:b/>
          <w:bCs/>
        </w:rPr>
        <w:t xml:space="preserve">         </w:t>
      </w:r>
    </w:p>
    <w:p w14:paraId="51B3AC43" w14:textId="77777777" w:rsidR="00A357D3" w:rsidRPr="000F4D5A" w:rsidRDefault="00A357D3" w:rsidP="00A357D3">
      <w:pPr>
        <w:spacing w:after="0"/>
        <w:rPr>
          <w:rFonts w:ascii="Calibri" w:hAnsi="Calibri" w:cs="Calibri"/>
        </w:rPr>
      </w:pPr>
      <w:r w:rsidRPr="000F4D5A">
        <w:rPr>
          <w:rFonts w:ascii="Calibri" w:hAnsi="Calibri" w:cs="Calibri"/>
        </w:rPr>
        <w:t xml:space="preserve">Format: descriptive and comparative prose </w:t>
      </w:r>
    </w:p>
    <w:p w14:paraId="74E45D67"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77E03B2A"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Relief at source- a contribution is paid out of net (post tax) pay to the provider who then reclaims tax at the basic rate from the government which is then allocated to the member’s pension fund account</w:t>
      </w:r>
    </w:p>
    <w:p w14:paraId="704AB91C"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Net pay method - Under the net pay arrangement, contributions are deducted from an employee’s gross pay before the deduction of tax.</w:t>
      </w:r>
    </w:p>
    <w:p w14:paraId="7DAC54F0"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How they operate, pointing out the differences</w:t>
      </w:r>
    </w:p>
    <w:p w14:paraId="57437F6F"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Brief worked example demonstrating the difference</w:t>
      </w:r>
    </w:p>
    <w:p w14:paraId="537CB617"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lastRenderedPageBreak/>
        <w:t>Salary sacrifice enables both employee and employer to save NI contributions Under such an arrangement, the employee agrees in advance to give up, or ‘sacrifice’, part of their salary or bonus. In return, the employer provides additional pension benefits. This is more efficient from a National Insurance viewpoint, since the lower the salary/bonus that is paid, the lower will be the employer’s and employee’s NI cost.</w:t>
      </w:r>
    </w:p>
    <w:p w14:paraId="7262785A" w14:textId="77777777" w:rsidR="00A357D3" w:rsidRPr="000F4D5A" w:rsidRDefault="00A357D3" w:rsidP="00A357D3">
      <w:pPr>
        <w:spacing w:after="0"/>
        <w:rPr>
          <w:rFonts w:ascii="Calibri" w:hAnsi="Calibri" w:cs="Calibri"/>
        </w:rPr>
      </w:pPr>
    </w:p>
    <w:p w14:paraId="46B01965"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Payment of pension scheme benefits and other authorised payments are subject to tax. List the following:</w:t>
      </w:r>
    </w:p>
    <w:p w14:paraId="6CCB058A" w14:textId="77777777" w:rsidR="00A357D3" w:rsidRPr="000F4D5A" w:rsidRDefault="00A357D3" w:rsidP="00A357D3">
      <w:pPr>
        <w:pStyle w:val="ListParagraph"/>
        <w:numPr>
          <w:ilvl w:val="0"/>
          <w:numId w:val="7"/>
        </w:numPr>
        <w:spacing w:after="0"/>
        <w:rPr>
          <w:rFonts w:ascii="Calibri" w:hAnsi="Calibri" w:cs="Calibri"/>
          <w:b/>
          <w:bCs/>
        </w:rPr>
      </w:pPr>
      <w:r w:rsidRPr="000F4D5A">
        <w:rPr>
          <w:rFonts w:ascii="Calibri" w:hAnsi="Calibri" w:cs="Calibri"/>
          <w:b/>
          <w:bCs/>
        </w:rPr>
        <w:t>The types of benefit payment where income tax is payable</w:t>
      </w:r>
    </w:p>
    <w:p w14:paraId="43A074C5" w14:textId="77777777" w:rsidR="00A357D3" w:rsidRPr="000F4D5A" w:rsidRDefault="00A357D3" w:rsidP="00A357D3">
      <w:pPr>
        <w:pStyle w:val="ListParagraph"/>
        <w:numPr>
          <w:ilvl w:val="0"/>
          <w:numId w:val="7"/>
        </w:numPr>
        <w:spacing w:after="0"/>
        <w:rPr>
          <w:rFonts w:ascii="Calibri" w:hAnsi="Calibri" w:cs="Calibri"/>
          <w:b/>
          <w:bCs/>
        </w:rPr>
      </w:pPr>
      <w:r w:rsidRPr="000F4D5A">
        <w:rPr>
          <w:rFonts w:ascii="Calibri" w:hAnsi="Calibri" w:cs="Calibri"/>
          <w:b/>
          <w:bCs/>
        </w:rPr>
        <w:t>3 examples of authorised payments which attract a tax levy on the scheme</w:t>
      </w:r>
    </w:p>
    <w:p w14:paraId="7DAC8A4C" w14:textId="00C9D79B" w:rsidR="00A357D3" w:rsidRPr="000F4D5A" w:rsidRDefault="00A357D3" w:rsidP="00A357D3">
      <w:pPr>
        <w:spacing w:after="0"/>
        <w:ind w:left="7200" w:firstLine="720"/>
        <w:jc w:val="center"/>
        <w:rPr>
          <w:rFonts w:ascii="Calibri" w:hAnsi="Calibri" w:cs="Calibri"/>
          <w:b/>
          <w:bCs/>
        </w:rPr>
      </w:pPr>
      <w:r w:rsidRPr="000F4D5A">
        <w:rPr>
          <w:rFonts w:ascii="Calibri" w:hAnsi="Calibri" w:cs="Calibri"/>
          <w:b/>
          <w:bCs/>
        </w:rPr>
        <w:t xml:space="preserve">   10 marks  </w:t>
      </w:r>
    </w:p>
    <w:p w14:paraId="5F42728E" w14:textId="77777777" w:rsidR="00A357D3" w:rsidRPr="000F4D5A" w:rsidRDefault="00A357D3" w:rsidP="00A357D3">
      <w:pPr>
        <w:spacing w:after="0"/>
        <w:jc w:val="both"/>
        <w:rPr>
          <w:rFonts w:ascii="Calibri" w:hAnsi="Calibri" w:cs="Calibri"/>
          <w:b/>
          <w:bCs/>
        </w:rPr>
      </w:pPr>
      <w:r w:rsidRPr="000F4D5A">
        <w:rPr>
          <w:rFonts w:ascii="Calibri" w:hAnsi="Calibri" w:cs="Calibri"/>
          <w:b/>
          <w:bCs/>
        </w:rPr>
        <w:t xml:space="preserve">      </w:t>
      </w:r>
    </w:p>
    <w:p w14:paraId="13318FA0" w14:textId="77777777" w:rsidR="00A357D3" w:rsidRPr="000F4D5A" w:rsidRDefault="00A357D3" w:rsidP="00A357D3">
      <w:pPr>
        <w:spacing w:after="0"/>
        <w:rPr>
          <w:rFonts w:ascii="Calibri" w:hAnsi="Calibri" w:cs="Calibri"/>
          <w:b/>
          <w:bCs/>
        </w:rPr>
      </w:pPr>
      <w:r w:rsidRPr="000F4D5A">
        <w:rPr>
          <w:rFonts w:ascii="Calibri" w:hAnsi="Calibri" w:cs="Calibri"/>
        </w:rPr>
        <w:t xml:space="preserve">Relevant section of the manual is Part 1 Chapter 2.4. </w:t>
      </w:r>
      <w:r w:rsidRPr="000F4D5A">
        <w:rPr>
          <w:rFonts w:ascii="Calibri" w:hAnsi="Calibri" w:cs="Calibri"/>
          <w:b/>
          <w:bCs/>
        </w:rPr>
        <w:t xml:space="preserve">         </w:t>
      </w:r>
    </w:p>
    <w:p w14:paraId="6F5F9F06" w14:textId="77777777" w:rsidR="00A357D3" w:rsidRPr="000F4D5A" w:rsidRDefault="00A357D3" w:rsidP="00A357D3">
      <w:pPr>
        <w:spacing w:after="0"/>
        <w:rPr>
          <w:rFonts w:ascii="Calibri" w:hAnsi="Calibri" w:cs="Calibri"/>
        </w:rPr>
      </w:pPr>
      <w:r w:rsidRPr="000F4D5A">
        <w:rPr>
          <w:rFonts w:ascii="Calibri" w:hAnsi="Calibri" w:cs="Calibri"/>
        </w:rPr>
        <w:t>Format: bulleted list</w:t>
      </w:r>
    </w:p>
    <w:p w14:paraId="4264A855"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2A9AA829" w14:textId="77777777" w:rsidR="00A357D3" w:rsidRPr="000F4D5A" w:rsidRDefault="00A357D3" w:rsidP="00A357D3">
      <w:pPr>
        <w:pStyle w:val="ListParagraph"/>
        <w:numPr>
          <w:ilvl w:val="0"/>
          <w:numId w:val="8"/>
        </w:numPr>
        <w:spacing w:after="0"/>
        <w:rPr>
          <w:rFonts w:ascii="Calibri" w:hAnsi="Calibri" w:cs="Calibri"/>
        </w:rPr>
      </w:pPr>
      <w:r w:rsidRPr="000F4D5A">
        <w:rPr>
          <w:rFonts w:ascii="Calibri" w:hAnsi="Calibri" w:cs="Calibri"/>
        </w:rPr>
        <w:t>Pension in payment</w:t>
      </w:r>
    </w:p>
    <w:p w14:paraId="0A31FA39" w14:textId="77777777" w:rsidR="00A357D3" w:rsidRPr="000F4D5A" w:rsidRDefault="00A357D3" w:rsidP="00A357D3">
      <w:pPr>
        <w:pStyle w:val="ListParagraph"/>
        <w:numPr>
          <w:ilvl w:val="0"/>
          <w:numId w:val="8"/>
        </w:numPr>
        <w:spacing w:after="0"/>
        <w:rPr>
          <w:rFonts w:ascii="Calibri" w:hAnsi="Calibri" w:cs="Calibri"/>
        </w:rPr>
      </w:pPr>
      <w:r w:rsidRPr="000F4D5A">
        <w:rPr>
          <w:rFonts w:ascii="Calibri" w:hAnsi="Calibri" w:cs="Calibri"/>
        </w:rPr>
        <w:t>Trivial commutation lump sums</w:t>
      </w:r>
    </w:p>
    <w:p w14:paraId="3A592191" w14:textId="77777777" w:rsidR="00A357D3" w:rsidRPr="000F4D5A" w:rsidRDefault="00A357D3" w:rsidP="00A357D3">
      <w:pPr>
        <w:pStyle w:val="ListParagraph"/>
        <w:numPr>
          <w:ilvl w:val="0"/>
          <w:numId w:val="8"/>
        </w:numPr>
        <w:spacing w:after="0"/>
        <w:rPr>
          <w:rFonts w:ascii="Calibri" w:hAnsi="Calibri" w:cs="Calibri"/>
        </w:rPr>
      </w:pPr>
      <w:r w:rsidRPr="000F4D5A">
        <w:rPr>
          <w:rFonts w:ascii="Calibri" w:hAnsi="Calibri" w:cs="Calibri"/>
        </w:rPr>
        <w:t>Any 3 from:</w:t>
      </w:r>
    </w:p>
    <w:p w14:paraId="08698EBF" w14:textId="77777777" w:rsidR="00A357D3" w:rsidRPr="000F4D5A" w:rsidRDefault="00A357D3" w:rsidP="00A357D3">
      <w:pPr>
        <w:pStyle w:val="ListParagraph"/>
        <w:numPr>
          <w:ilvl w:val="1"/>
          <w:numId w:val="8"/>
        </w:numPr>
        <w:spacing w:after="0"/>
        <w:rPr>
          <w:rFonts w:ascii="Calibri" w:hAnsi="Calibri" w:cs="Calibri"/>
        </w:rPr>
      </w:pPr>
      <w:r w:rsidRPr="000F4D5A">
        <w:rPr>
          <w:rFonts w:ascii="Calibri" w:hAnsi="Calibri" w:cs="Calibri"/>
        </w:rPr>
        <w:t>Short service refunds</w:t>
      </w:r>
    </w:p>
    <w:p w14:paraId="5495EB69" w14:textId="77777777" w:rsidR="00A357D3" w:rsidRPr="000F4D5A" w:rsidRDefault="00A357D3" w:rsidP="00A357D3">
      <w:pPr>
        <w:pStyle w:val="ListParagraph"/>
        <w:numPr>
          <w:ilvl w:val="1"/>
          <w:numId w:val="8"/>
        </w:numPr>
        <w:spacing w:after="0"/>
        <w:rPr>
          <w:rFonts w:ascii="Calibri" w:hAnsi="Calibri" w:cs="Calibri"/>
        </w:rPr>
      </w:pPr>
      <w:r w:rsidRPr="000F4D5A">
        <w:rPr>
          <w:rFonts w:ascii="Calibri" w:hAnsi="Calibri" w:cs="Calibri"/>
        </w:rPr>
        <w:t>Benefits paid in excess of the Lifetime Allowance</w:t>
      </w:r>
    </w:p>
    <w:p w14:paraId="1674F390" w14:textId="77777777" w:rsidR="00A357D3" w:rsidRPr="000F4D5A" w:rsidRDefault="00A357D3" w:rsidP="00A357D3">
      <w:pPr>
        <w:pStyle w:val="ListParagraph"/>
        <w:numPr>
          <w:ilvl w:val="1"/>
          <w:numId w:val="8"/>
        </w:numPr>
        <w:spacing w:after="0"/>
        <w:rPr>
          <w:rFonts w:ascii="Calibri" w:hAnsi="Calibri" w:cs="Calibri"/>
        </w:rPr>
      </w:pPr>
      <w:r w:rsidRPr="000F4D5A">
        <w:rPr>
          <w:rFonts w:ascii="Calibri" w:hAnsi="Calibri" w:cs="Calibri"/>
        </w:rPr>
        <w:t>Lump sum death benefits paid on the death of a member on/after age 75 or 2 years or more after the death</w:t>
      </w:r>
    </w:p>
    <w:p w14:paraId="1FB09BAE" w14:textId="77777777" w:rsidR="00A357D3" w:rsidRPr="000F4D5A" w:rsidRDefault="00A357D3" w:rsidP="00A357D3">
      <w:pPr>
        <w:pStyle w:val="ListParagraph"/>
        <w:numPr>
          <w:ilvl w:val="1"/>
          <w:numId w:val="8"/>
        </w:numPr>
        <w:spacing w:after="0"/>
        <w:rPr>
          <w:rFonts w:ascii="Calibri" w:hAnsi="Calibri" w:cs="Calibri"/>
        </w:rPr>
      </w:pPr>
      <w:r w:rsidRPr="000F4D5A">
        <w:rPr>
          <w:rFonts w:ascii="Calibri" w:hAnsi="Calibri" w:cs="Calibri"/>
        </w:rPr>
        <w:t>A transfer to a QROPS in a country out with the EEA and the member does not live in the QROPs country after the transfer</w:t>
      </w:r>
    </w:p>
    <w:p w14:paraId="555116CF" w14:textId="77777777" w:rsidR="00A357D3" w:rsidRPr="000F4D5A" w:rsidRDefault="00A357D3" w:rsidP="00A357D3">
      <w:pPr>
        <w:pStyle w:val="ListParagraph"/>
        <w:spacing w:after="0"/>
        <w:ind w:left="1080"/>
        <w:rPr>
          <w:rFonts w:ascii="Calibri" w:hAnsi="Calibri" w:cs="Calibri"/>
        </w:rPr>
      </w:pPr>
    </w:p>
    <w:p w14:paraId="22E4F0AC"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Outline the key design features of the following occupational pension schemes and how each of these is funded:</w:t>
      </w:r>
    </w:p>
    <w:p w14:paraId="43F1B86C" w14:textId="77777777" w:rsidR="00A357D3" w:rsidRPr="000F4D5A" w:rsidRDefault="00A357D3" w:rsidP="00A357D3">
      <w:pPr>
        <w:pStyle w:val="ListParagraph"/>
        <w:numPr>
          <w:ilvl w:val="0"/>
          <w:numId w:val="9"/>
        </w:numPr>
        <w:spacing w:after="0"/>
        <w:rPr>
          <w:rFonts w:ascii="Calibri" w:hAnsi="Calibri" w:cs="Calibri"/>
          <w:b/>
          <w:bCs/>
        </w:rPr>
      </w:pPr>
      <w:r w:rsidRPr="000F4D5A">
        <w:rPr>
          <w:rFonts w:ascii="Calibri" w:hAnsi="Calibri" w:cs="Calibri"/>
          <w:b/>
          <w:bCs/>
        </w:rPr>
        <w:t>DC scheme</w:t>
      </w:r>
    </w:p>
    <w:p w14:paraId="2B3CDB15" w14:textId="77777777" w:rsidR="00A357D3" w:rsidRPr="000F4D5A" w:rsidRDefault="00A357D3" w:rsidP="00A357D3">
      <w:pPr>
        <w:pStyle w:val="ListParagraph"/>
        <w:numPr>
          <w:ilvl w:val="0"/>
          <w:numId w:val="9"/>
        </w:numPr>
        <w:spacing w:after="0"/>
        <w:rPr>
          <w:rFonts w:ascii="Calibri" w:hAnsi="Calibri" w:cs="Calibri"/>
          <w:b/>
          <w:bCs/>
        </w:rPr>
      </w:pPr>
      <w:r w:rsidRPr="000F4D5A">
        <w:rPr>
          <w:rFonts w:ascii="Calibri" w:hAnsi="Calibri" w:cs="Calibri"/>
          <w:b/>
          <w:bCs/>
        </w:rPr>
        <w:t>DB scheme</w:t>
      </w:r>
    </w:p>
    <w:p w14:paraId="58AD71EB" w14:textId="77777777" w:rsidR="00A357D3" w:rsidRPr="000F4D5A" w:rsidRDefault="00A357D3" w:rsidP="00A357D3">
      <w:pPr>
        <w:pStyle w:val="ListParagraph"/>
        <w:numPr>
          <w:ilvl w:val="0"/>
          <w:numId w:val="9"/>
        </w:numPr>
        <w:spacing w:after="0"/>
        <w:rPr>
          <w:rFonts w:ascii="Calibri" w:hAnsi="Calibri" w:cs="Calibri"/>
          <w:b/>
          <w:bCs/>
        </w:rPr>
      </w:pPr>
      <w:r w:rsidRPr="000F4D5A">
        <w:rPr>
          <w:rFonts w:ascii="Calibri" w:hAnsi="Calibri" w:cs="Calibri"/>
          <w:b/>
          <w:bCs/>
        </w:rPr>
        <w:t>Hybrid scheme</w:t>
      </w:r>
    </w:p>
    <w:p w14:paraId="10F8348B" w14:textId="77777777" w:rsidR="00A357D3" w:rsidRPr="000F4D5A" w:rsidRDefault="00A357D3" w:rsidP="00A357D3">
      <w:pPr>
        <w:spacing w:after="0"/>
        <w:jc w:val="right"/>
        <w:rPr>
          <w:rFonts w:ascii="Calibri" w:hAnsi="Calibri" w:cs="Calibri"/>
          <w:b/>
          <w:bCs/>
        </w:rPr>
      </w:pPr>
      <w:r w:rsidRPr="000F4D5A">
        <w:rPr>
          <w:rFonts w:ascii="Calibri" w:hAnsi="Calibri" w:cs="Calibri"/>
          <w:b/>
          <w:bCs/>
        </w:rPr>
        <w:t xml:space="preserve">15 marks </w:t>
      </w:r>
    </w:p>
    <w:p w14:paraId="1D0468C1" w14:textId="77777777" w:rsidR="00A357D3" w:rsidRPr="000F4D5A" w:rsidRDefault="00A357D3" w:rsidP="00A357D3">
      <w:pPr>
        <w:spacing w:after="0"/>
        <w:jc w:val="both"/>
        <w:rPr>
          <w:rFonts w:ascii="Calibri" w:hAnsi="Calibri" w:cs="Calibri"/>
          <w:b/>
          <w:bCs/>
        </w:rPr>
      </w:pPr>
      <w:r w:rsidRPr="000F4D5A">
        <w:rPr>
          <w:rFonts w:ascii="Calibri" w:hAnsi="Calibri" w:cs="Calibri"/>
          <w:b/>
          <w:bCs/>
        </w:rPr>
        <w:t xml:space="preserve"> </w:t>
      </w:r>
    </w:p>
    <w:p w14:paraId="4D3366B0"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1.1.1.</w:t>
      </w:r>
      <w:r w:rsidRPr="000F4D5A">
        <w:rPr>
          <w:rFonts w:ascii="Calibri" w:hAnsi="Calibri" w:cs="Calibri"/>
          <w:b/>
          <w:bCs/>
        </w:rPr>
        <w:t xml:space="preserve">         </w:t>
      </w:r>
    </w:p>
    <w:p w14:paraId="47F75F14" w14:textId="77777777" w:rsidR="00A357D3" w:rsidRPr="000F4D5A" w:rsidRDefault="00A357D3" w:rsidP="00A357D3">
      <w:pPr>
        <w:spacing w:after="0"/>
        <w:rPr>
          <w:rFonts w:ascii="Calibri" w:hAnsi="Calibri" w:cs="Calibri"/>
        </w:rPr>
      </w:pPr>
      <w:r w:rsidRPr="000F4D5A">
        <w:rPr>
          <w:rFonts w:ascii="Calibri" w:hAnsi="Calibri" w:cs="Calibri"/>
        </w:rPr>
        <w:t>Format: descriptive, clear paragraphs</w:t>
      </w:r>
    </w:p>
    <w:p w14:paraId="780766BE" w14:textId="77777777" w:rsidR="00A357D3" w:rsidRPr="000F4D5A" w:rsidRDefault="00A357D3" w:rsidP="00A357D3">
      <w:pPr>
        <w:spacing w:after="0"/>
        <w:rPr>
          <w:rFonts w:ascii="Calibri" w:hAnsi="Calibri" w:cs="Calibri"/>
        </w:rPr>
      </w:pPr>
      <w:r w:rsidRPr="000F4D5A">
        <w:rPr>
          <w:rFonts w:ascii="Calibri" w:hAnsi="Calibri" w:cs="Calibri"/>
        </w:rPr>
        <w:t>Answer should cover, for each of a), b) and c):</w:t>
      </w:r>
    </w:p>
    <w:p w14:paraId="4EFD771E"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How benefits are accrued</w:t>
      </w:r>
    </w:p>
    <w:p w14:paraId="6CCF898B"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Variations in design</w:t>
      </w:r>
    </w:p>
    <w:p w14:paraId="70DC9CEB"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How the type of scheme is funded</w:t>
      </w:r>
    </w:p>
    <w:p w14:paraId="5A7CD449" w14:textId="77777777" w:rsidR="00A357D3" w:rsidRPr="000F4D5A" w:rsidRDefault="00A357D3" w:rsidP="00A357D3">
      <w:pPr>
        <w:pStyle w:val="ListParagraph"/>
        <w:spacing w:after="0"/>
        <w:ind w:left="360"/>
        <w:rPr>
          <w:rFonts w:ascii="Calibri" w:hAnsi="Calibri" w:cs="Calibri"/>
        </w:rPr>
      </w:pPr>
    </w:p>
    <w:p w14:paraId="01E8EA89" w14:textId="77777777" w:rsidR="00A357D3" w:rsidRDefault="00A357D3" w:rsidP="00A357D3">
      <w:pPr>
        <w:spacing w:after="0"/>
        <w:rPr>
          <w:rFonts w:ascii="Calibri" w:hAnsi="Calibri" w:cs="Calibri"/>
        </w:rPr>
      </w:pPr>
      <w:r w:rsidRPr="000F4D5A">
        <w:rPr>
          <w:rFonts w:ascii="Calibri" w:hAnsi="Calibri" w:cs="Calibri"/>
        </w:rPr>
        <w:t>For example, in defined contribution (DC) schemes (also known as money purchase schemes) the employer promises to pay a defined level of contributions on behalf of the employee, which are invested and in due course used to purchase retirement benefits for the employee. It is essentially implicit for such schemes to be funded in advance.</w:t>
      </w:r>
    </w:p>
    <w:p w14:paraId="6EC5A8D3" w14:textId="77777777" w:rsidR="000F4D5A" w:rsidRDefault="000F4D5A" w:rsidP="00A357D3">
      <w:pPr>
        <w:spacing w:after="0"/>
        <w:rPr>
          <w:rFonts w:ascii="Calibri" w:hAnsi="Calibri" w:cs="Calibri"/>
        </w:rPr>
      </w:pPr>
    </w:p>
    <w:p w14:paraId="54445D04" w14:textId="77777777" w:rsidR="000F4D5A" w:rsidRDefault="000F4D5A" w:rsidP="00A357D3">
      <w:pPr>
        <w:spacing w:after="0"/>
        <w:rPr>
          <w:rFonts w:ascii="Calibri" w:hAnsi="Calibri" w:cs="Calibri"/>
        </w:rPr>
      </w:pPr>
    </w:p>
    <w:p w14:paraId="76231B3B" w14:textId="77777777" w:rsidR="000F4D5A" w:rsidRDefault="000F4D5A" w:rsidP="00A357D3">
      <w:pPr>
        <w:spacing w:after="0"/>
        <w:rPr>
          <w:rFonts w:ascii="Calibri" w:hAnsi="Calibri" w:cs="Calibri"/>
        </w:rPr>
      </w:pPr>
    </w:p>
    <w:p w14:paraId="7F97C2E4" w14:textId="77777777" w:rsidR="000F4D5A" w:rsidRPr="000F4D5A" w:rsidRDefault="000F4D5A" w:rsidP="00A357D3">
      <w:pPr>
        <w:spacing w:after="0"/>
        <w:rPr>
          <w:rFonts w:ascii="Calibri" w:hAnsi="Calibri" w:cs="Calibri"/>
        </w:rPr>
      </w:pPr>
    </w:p>
    <w:p w14:paraId="5F7A4077" w14:textId="77777777" w:rsidR="00A357D3" w:rsidRPr="000F4D5A" w:rsidRDefault="00A357D3" w:rsidP="00A357D3">
      <w:pPr>
        <w:pStyle w:val="ListParagraph"/>
        <w:spacing w:after="0"/>
        <w:ind w:left="360"/>
        <w:rPr>
          <w:rFonts w:ascii="Calibri" w:hAnsi="Calibri" w:cs="Calibri"/>
        </w:rPr>
      </w:pPr>
    </w:p>
    <w:p w14:paraId="700805FF"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lastRenderedPageBreak/>
        <w:t>How do employee pension contribution levels vary between pension arrangements?</w:t>
      </w:r>
    </w:p>
    <w:p w14:paraId="7EDB06A3" w14:textId="77777777" w:rsidR="00A357D3" w:rsidRPr="000F4D5A" w:rsidRDefault="00A357D3" w:rsidP="00A357D3">
      <w:pPr>
        <w:spacing w:after="0"/>
        <w:jc w:val="right"/>
        <w:rPr>
          <w:rFonts w:ascii="Calibri" w:hAnsi="Calibri" w:cs="Calibri"/>
          <w:b/>
          <w:bCs/>
        </w:rPr>
      </w:pPr>
      <w:r w:rsidRPr="000F4D5A">
        <w:rPr>
          <w:rFonts w:ascii="Calibri" w:hAnsi="Calibri" w:cs="Calibri"/>
          <w:b/>
          <w:bCs/>
        </w:rPr>
        <w:t>5 marks</w:t>
      </w:r>
    </w:p>
    <w:p w14:paraId="339A96EC" w14:textId="77777777" w:rsidR="00A357D3" w:rsidRPr="000F4D5A" w:rsidRDefault="00A357D3" w:rsidP="00A357D3">
      <w:pPr>
        <w:spacing w:after="0"/>
        <w:rPr>
          <w:rFonts w:ascii="Calibri" w:hAnsi="Calibri" w:cs="Calibri"/>
        </w:rPr>
      </w:pPr>
    </w:p>
    <w:p w14:paraId="4C9CB161"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1.3.2.</w:t>
      </w:r>
      <w:r w:rsidRPr="000F4D5A">
        <w:rPr>
          <w:rFonts w:ascii="Calibri" w:hAnsi="Calibri" w:cs="Calibri"/>
          <w:b/>
          <w:bCs/>
        </w:rPr>
        <w:t xml:space="preserve">         </w:t>
      </w:r>
    </w:p>
    <w:p w14:paraId="324DA151" w14:textId="77777777" w:rsidR="00A357D3" w:rsidRPr="000F4D5A" w:rsidRDefault="00A357D3" w:rsidP="00A357D3">
      <w:pPr>
        <w:spacing w:after="0"/>
        <w:rPr>
          <w:rFonts w:ascii="Calibri" w:hAnsi="Calibri" w:cs="Calibri"/>
        </w:rPr>
      </w:pPr>
      <w:r w:rsidRPr="000F4D5A">
        <w:rPr>
          <w:rFonts w:ascii="Calibri" w:hAnsi="Calibri" w:cs="Calibri"/>
        </w:rPr>
        <w:t>Format: no preferred format – list or paragraph acceptable</w:t>
      </w:r>
    </w:p>
    <w:p w14:paraId="67327A6A"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168F141F" w14:textId="77777777" w:rsidR="00A357D3" w:rsidRPr="000F4D5A" w:rsidRDefault="00A357D3" w:rsidP="00A357D3">
      <w:pPr>
        <w:pStyle w:val="ListParagraph"/>
        <w:numPr>
          <w:ilvl w:val="0"/>
          <w:numId w:val="10"/>
        </w:numPr>
        <w:spacing w:after="0"/>
        <w:rPr>
          <w:rFonts w:ascii="Calibri" w:hAnsi="Calibri" w:cs="Calibri"/>
        </w:rPr>
      </w:pPr>
      <w:r w:rsidRPr="000F4D5A">
        <w:rPr>
          <w:rFonts w:ascii="Calibri" w:hAnsi="Calibri" w:cs="Calibri"/>
        </w:rPr>
        <w:t>Contributory scheme</w:t>
      </w:r>
    </w:p>
    <w:p w14:paraId="0A03940D" w14:textId="77777777" w:rsidR="00A357D3" w:rsidRPr="000F4D5A" w:rsidRDefault="00A357D3" w:rsidP="00A357D3">
      <w:pPr>
        <w:pStyle w:val="ListParagraph"/>
        <w:numPr>
          <w:ilvl w:val="0"/>
          <w:numId w:val="10"/>
        </w:numPr>
        <w:spacing w:after="0"/>
        <w:rPr>
          <w:rFonts w:ascii="Calibri" w:hAnsi="Calibri" w:cs="Calibri"/>
        </w:rPr>
      </w:pPr>
      <w:r w:rsidRPr="000F4D5A">
        <w:rPr>
          <w:rFonts w:ascii="Calibri" w:hAnsi="Calibri" w:cs="Calibri"/>
        </w:rPr>
        <w:t>Percentage of salary/fixed amount</w:t>
      </w:r>
    </w:p>
    <w:p w14:paraId="46535F55" w14:textId="77777777" w:rsidR="00A357D3" w:rsidRPr="000F4D5A" w:rsidRDefault="00A357D3" w:rsidP="00A357D3">
      <w:pPr>
        <w:pStyle w:val="ListParagraph"/>
        <w:numPr>
          <w:ilvl w:val="0"/>
          <w:numId w:val="10"/>
        </w:numPr>
        <w:spacing w:after="0"/>
        <w:rPr>
          <w:rFonts w:ascii="Calibri" w:hAnsi="Calibri" w:cs="Calibri"/>
        </w:rPr>
      </w:pPr>
      <w:r w:rsidRPr="000F4D5A">
        <w:rPr>
          <w:rFonts w:ascii="Calibri" w:hAnsi="Calibri" w:cs="Calibri"/>
        </w:rPr>
        <w:t>AVCs</w:t>
      </w:r>
    </w:p>
    <w:p w14:paraId="077D2AF5" w14:textId="77777777" w:rsidR="00A357D3" w:rsidRPr="000F4D5A" w:rsidRDefault="00A357D3" w:rsidP="00A357D3">
      <w:pPr>
        <w:pStyle w:val="ListParagraph"/>
        <w:spacing w:after="0"/>
        <w:ind w:left="360"/>
        <w:rPr>
          <w:rFonts w:ascii="Calibri" w:hAnsi="Calibri" w:cs="Calibri"/>
        </w:rPr>
      </w:pPr>
    </w:p>
    <w:p w14:paraId="67E59BC5"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What were the main tax simplification changes that HMRC introduced from 6 April 2006?</w:t>
      </w:r>
    </w:p>
    <w:p w14:paraId="6E95B931" w14:textId="77777777" w:rsidR="00A357D3" w:rsidRPr="000F4D5A" w:rsidRDefault="00A357D3" w:rsidP="00A357D3">
      <w:pPr>
        <w:spacing w:after="0"/>
        <w:jc w:val="right"/>
        <w:rPr>
          <w:rFonts w:ascii="Calibri" w:hAnsi="Calibri" w:cs="Calibri"/>
          <w:b/>
          <w:bCs/>
        </w:rPr>
      </w:pPr>
      <w:r w:rsidRPr="000F4D5A">
        <w:rPr>
          <w:rFonts w:ascii="Calibri" w:hAnsi="Calibri" w:cs="Calibri"/>
          <w:b/>
          <w:bCs/>
        </w:rPr>
        <w:t>5 marks</w:t>
      </w:r>
    </w:p>
    <w:p w14:paraId="00EE8AD6" w14:textId="77777777" w:rsidR="00A357D3" w:rsidRPr="000F4D5A" w:rsidRDefault="00A357D3" w:rsidP="00A357D3">
      <w:pPr>
        <w:spacing w:after="0"/>
        <w:jc w:val="both"/>
        <w:rPr>
          <w:rFonts w:ascii="Calibri" w:hAnsi="Calibri" w:cs="Calibri"/>
          <w:b/>
          <w:bCs/>
        </w:rPr>
      </w:pPr>
    </w:p>
    <w:p w14:paraId="5A50D4EF"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2.1.</w:t>
      </w:r>
      <w:r w:rsidRPr="000F4D5A">
        <w:rPr>
          <w:rFonts w:ascii="Calibri" w:hAnsi="Calibri" w:cs="Calibri"/>
          <w:b/>
          <w:bCs/>
        </w:rPr>
        <w:t xml:space="preserve">        </w:t>
      </w:r>
    </w:p>
    <w:p w14:paraId="6A05C092" w14:textId="77777777" w:rsidR="00A357D3" w:rsidRPr="000F4D5A" w:rsidRDefault="00A357D3" w:rsidP="00A357D3">
      <w:pPr>
        <w:spacing w:after="0"/>
        <w:rPr>
          <w:rFonts w:ascii="Calibri" w:hAnsi="Calibri" w:cs="Calibri"/>
        </w:rPr>
      </w:pPr>
      <w:r w:rsidRPr="000F4D5A">
        <w:rPr>
          <w:rFonts w:ascii="Calibri" w:hAnsi="Calibri" w:cs="Calibri"/>
        </w:rPr>
        <w:t>Format: no preferred format – list or paragraph acceptable</w:t>
      </w:r>
    </w:p>
    <w:p w14:paraId="79B98DFB"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5E88DA6E"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Limits applicable to benefits and contributions replace by new limits</w:t>
      </w:r>
    </w:p>
    <w:p w14:paraId="43309EBA"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Change from approved to registered scheme</w:t>
      </w:r>
    </w:p>
    <w:p w14:paraId="3B462D92"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DC benefits could be taken in full as a cash lump sum</w:t>
      </w:r>
    </w:p>
    <w:p w14:paraId="0E4F1861"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Removal of requirement to annuitise on attaining age 75</w:t>
      </w:r>
    </w:p>
    <w:p w14:paraId="0B66E8A7"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Schemes could maintain pre 2006 scheme rules, restricting the member options</w:t>
      </w:r>
    </w:p>
    <w:p w14:paraId="05F816FA" w14:textId="77777777" w:rsidR="00A357D3" w:rsidRPr="000F4D5A" w:rsidRDefault="00A357D3" w:rsidP="00A357D3">
      <w:pPr>
        <w:pStyle w:val="ListParagraph"/>
        <w:spacing w:after="0"/>
        <w:ind w:left="360"/>
        <w:rPr>
          <w:rFonts w:ascii="Calibri" w:hAnsi="Calibri" w:cs="Calibri"/>
        </w:rPr>
      </w:pPr>
      <w:r w:rsidRPr="000F4D5A">
        <w:rPr>
          <w:rFonts w:ascii="Calibri" w:hAnsi="Calibri" w:cs="Calibri"/>
        </w:rPr>
        <w:t xml:space="preserve"> </w:t>
      </w:r>
    </w:p>
    <w:p w14:paraId="2EFBA466" w14:textId="77777777" w:rsidR="00A357D3" w:rsidRPr="000F4D5A" w:rsidRDefault="00A357D3" w:rsidP="00A357D3">
      <w:pPr>
        <w:pStyle w:val="ListParagraph"/>
        <w:spacing w:after="0"/>
        <w:ind w:left="360"/>
        <w:rPr>
          <w:rFonts w:ascii="Calibri" w:hAnsi="Calibri" w:cs="Calibri"/>
        </w:rPr>
      </w:pPr>
    </w:p>
    <w:p w14:paraId="3C0A8017" w14:textId="77777777" w:rsidR="00A357D3" w:rsidRPr="000F4D5A" w:rsidRDefault="00A357D3" w:rsidP="00A357D3">
      <w:pPr>
        <w:spacing w:after="0"/>
        <w:rPr>
          <w:rFonts w:ascii="Calibri" w:hAnsi="Calibri" w:cs="Calibri"/>
        </w:rPr>
      </w:pPr>
    </w:p>
    <w:p w14:paraId="719348E2" w14:textId="45006AB5" w:rsidR="00B0639D" w:rsidRPr="000F4D5A" w:rsidRDefault="00B0639D" w:rsidP="00B0639D">
      <w:pPr>
        <w:pStyle w:val="ListParagraph"/>
        <w:numPr>
          <w:ilvl w:val="0"/>
          <w:numId w:val="1"/>
        </w:numPr>
        <w:spacing w:after="0"/>
        <w:rPr>
          <w:rFonts w:ascii="Calibri" w:hAnsi="Calibri" w:cs="Calibri"/>
        </w:rPr>
      </w:pPr>
      <w:bookmarkStart w:id="0" w:name="_Hlk133491869"/>
      <w:r w:rsidRPr="000F4D5A">
        <w:rPr>
          <w:rFonts w:ascii="Calibri" w:hAnsi="Calibri" w:cs="Calibri"/>
          <w:b/>
          <w:bCs/>
        </w:rPr>
        <w:t>Compare and Contrast Tax Charges on Payments to Tax Charges on Investments.</w:t>
      </w:r>
    </w:p>
    <w:p w14:paraId="3A5FF2F9" w14:textId="77777777" w:rsidR="00B0639D" w:rsidRPr="000F4D5A" w:rsidRDefault="00B0639D" w:rsidP="00B0639D">
      <w:pPr>
        <w:spacing w:after="0"/>
        <w:rPr>
          <w:rFonts w:ascii="Calibri" w:hAnsi="Calibri" w:cs="Calibri"/>
        </w:rPr>
      </w:pPr>
      <w:r w:rsidRPr="000F4D5A">
        <w:rPr>
          <w:rFonts w:ascii="Calibri" w:hAnsi="Calibri" w:cs="Calibri"/>
        </w:rPr>
        <w:t xml:space="preserve">                                                                                                                                               </w:t>
      </w:r>
      <w:r w:rsidRPr="000F4D5A">
        <w:rPr>
          <w:rFonts w:ascii="Calibri" w:hAnsi="Calibri" w:cs="Calibri"/>
          <w:b/>
          <w:bCs/>
        </w:rPr>
        <w:t xml:space="preserve">                    20 marks</w:t>
      </w:r>
    </w:p>
    <w:bookmarkEnd w:id="0"/>
    <w:p w14:paraId="0DF91174" w14:textId="77777777" w:rsidR="00B0639D" w:rsidRPr="000F4D5A" w:rsidRDefault="00B0639D" w:rsidP="00B0639D">
      <w:pPr>
        <w:spacing w:after="0"/>
        <w:rPr>
          <w:rFonts w:ascii="Calibri" w:hAnsi="Calibri" w:cs="Calibri"/>
        </w:rPr>
      </w:pPr>
    </w:p>
    <w:p w14:paraId="271F3E33" w14:textId="77777777" w:rsidR="00B0639D" w:rsidRPr="000F4D5A" w:rsidRDefault="00B0639D" w:rsidP="00B0639D">
      <w:pPr>
        <w:spacing w:after="0"/>
        <w:rPr>
          <w:rFonts w:ascii="Calibri" w:hAnsi="Calibri" w:cs="Calibri"/>
        </w:rPr>
      </w:pPr>
      <w:r w:rsidRPr="000F4D5A">
        <w:rPr>
          <w:rFonts w:ascii="Calibri" w:hAnsi="Calibri" w:cs="Calibri"/>
        </w:rPr>
        <w:t>Relevant section of the manual is Part 1 Chapters 2.3 and 2.4</w:t>
      </w:r>
    </w:p>
    <w:p w14:paraId="74A1E0B3" w14:textId="77777777" w:rsidR="00B0639D" w:rsidRPr="000F4D5A" w:rsidRDefault="00B0639D" w:rsidP="00B0639D">
      <w:pPr>
        <w:spacing w:after="0"/>
        <w:rPr>
          <w:rFonts w:ascii="Calibri" w:hAnsi="Calibri" w:cs="Calibri"/>
        </w:rPr>
      </w:pPr>
    </w:p>
    <w:p w14:paraId="01361962" w14:textId="77777777" w:rsidR="00B0639D" w:rsidRPr="000F4D5A" w:rsidRDefault="00B0639D" w:rsidP="00B0639D">
      <w:pPr>
        <w:spacing w:after="0"/>
        <w:rPr>
          <w:rFonts w:ascii="Calibri" w:hAnsi="Calibri" w:cs="Calibri"/>
        </w:rPr>
      </w:pPr>
      <w:r w:rsidRPr="000F4D5A">
        <w:rPr>
          <w:rFonts w:ascii="Calibri" w:hAnsi="Calibri" w:cs="Calibri"/>
        </w:rPr>
        <w:t xml:space="preserve">Format: descriptive and comparative prose </w:t>
      </w:r>
    </w:p>
    <w:p w14:paraId="13787CE0" w14:textId="77777777" w:rsidR="00B0639D" w:rsidRPr="000F4D5A" w:rsidRDefault="00B0639D" w:rsidP="00B0639D">
      <w:pPr>
        <w:pStyle w:val="ListParagraph"/>
        <w:spacing w:after="0"/>
        <w:rPr>
          <w:rFonts w:ascii="Calibri" w:hAnsi="Calibri" w:cs="Calibri"/>
        </w:rPr>
      </w:pPr>
    </w:p>
    <w:p w14:paraId="105B60AA"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General principles of tax charges on investments</w:t>
      </w:r>
    </w:p>
    <w:p w14:paraId="1C981D15"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Overseas investments</w:t>
      </w:r>
    </w:p>
    <w:p w14:paraId="12A07D1F"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Property</w:t>
      </w:r>
    </w:p>
    <w:p w14:paraId="31ECB8DC"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Insurance Polices</w:t>
      </w:r>
    </w:p>
    <w:p w14:paraId="617CA0A8" w14:textId="77777777" w:rsidR="00B0639D" w:rsidRPr="000F4D5A" w:rsidRDefault="00B0639D" w:rsidP="00B0639D">
      <w:pPr>
        <w:spacing w:after="0"/>
        <w:rPr>
          <w:rFonts w:ascii="Calibri" w:hAnsi="Calibri" w:cs="Calibri"/>
        </w:rPr>
      </w:pPr>
    </w:p>
    <w:p w14:paraId="052C2F3B"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General principles of tax charges on payments</w:t>
      </w:r>
    </w:p>
    <w:p w14:paraId="0B1C8C4E"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Examples of tax due such as contribution refunds</w:t>
      </w:r>
    </w:p>
    <w:p w14:paraId="613F43B5"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Tax charges for unauthorised payments</w:t>
      </w:r>
    </w:p>
    <w:p w14:paraId="53155982" w14:textId="77777777" w:rsidR="00B0639D" w:rsidRPr="000F4D5A" w:rsidRDefault="00B0639D" w:rsidP="00B0639D">
      <w:pPr>
        <w:spacing w:after="0"/>
        <w:rPr>
          <w:rFonts w:ascii="Calibri" w:hAnsi="Calibri" w:cs="Calibri"/>
        </w:rPr>
      </w:pPr>
    </w:p>
    <w:p w14:paraId="7517B97F"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Scheme Pays – Annual Allowance charge.</w:t>
      </w:r>
    </w:p>
    <w:p w14:paraId="2A344535"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When applicable</w:t>
      </w:r>
    </w:p>
    <w:p w14:paraId="324FD6B3"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How a member uses it.</w:t>
      </w:r>
    </w:p>
    <w:p w14:paraId="3BEC5FB4" w14:textId="77777777" w:rsidR="00B0639D" w:rsidRDefault="00B0639D" w:rsidP="00B0639D">
      <w:pPr>
        <w:spacing w:after="0"/>
        <w:rPr>
          <w:rFonts w:ascii="Calibri" w:hAnsi="Calibri" w:cs="Calibri"/>
        </w:rPr>
      </w:pPr>
    </w:p>
    <w:p w14:paraId="6F1CB672" w14:textId="77777777" w:rsidR="000F4D5A" w:rsidRPr="000F4D5A" w:rsidRDefault="000F4D5A" w:rsidP="00B0639D">
      <w:pPr>
        <w:spacing w:after="0"/>
        <w:rPr>
          <w:rFonts w:ascii="Calibri" w:hAnsi="Calibri" w:cs="Calibri"/>
        </w:rPr>
      </w:pPr>
    </w:p>
    <w:p w14:paraId="76204B96" w14:textId="77777777" w:rsidR="00B0639D" w:rsidRPr="000F4D5A" w:rsidRDefault="00B0639D" w:rsidP="00B0639D">
      <w:pPr>
        <w:spacing w:after="0"/>
        <w:rPr>
          <w:rFonts w:ascii="Calibri" w:hAnsi="Calibri" w:cs="Calibri"/>
        </w:rPr>
      </w:pPr>
    </w:p>
    <w:p w14:paraId="5000B978" w14:textId="77777777" w:rsidR="00B0639D" w:rsidRPr="000F4D5A" w:rsidRDefault="00B0639D" w:rsidP="00B0639D">
      <w:pPr>
        <w:spacing w:after="0"/>
        <w:rPr>
          <w:rFonts w:ascii="Calibri" w:hAnsi="Calibri" w:cs="Calibri"/>
        </w:rPr>
      </w:pPr>
    </w:p>
    <w:p w14:paraId="46D813B9" w14:textId="77777777" w:rsidR="00B0639D" w:rsidRPr="000F4D5A" w:rsidRDefault="00B0639D" w:rsidP="00B0639D">
      <w:pPr>
        <w:pStyle w:val="ListParagraph"/>
        <w:numPr>
          <w:ilvl w:val="0"/>
          <w:numId w:val="1"/>
        </w:numPr>
        <w:spacing w:after="0"/>
        <w:rPr>
          <w:rFonts w:ascii="Calibri" w:hAnsi="Calibri" w:cs="Calibri"/>
          <w:b/>
          <w:bCs/>
        </w:rPr>
      </w:pPr>
      <w:bookmarkStart w:id="1" w:name="_Hlk133491912"/>
      <w:r w:rsidRPr="000F4D5A">
        <w:rPr>
          <w:rFonts w:ascii="Calibri" w:hAnsi="Calibri" w:cs="Calibri"/>
          <w:b/>
          <w:bCs/>
        </w:rPr>
        <w:lastRenderedPageBreak/>
        <w:t xml:space="preserve"> Explain why pensions are funded with particular reference to security, stability and cash flow, taxation, and Accounting Standards. </w:t>
      </w:r>
    </w:p>
    <w:p w14:paraId="6A7985F5" w14:textId="77777777" w:rsidR="00B0639D" w:rsidRPr="000F4D5A" w:rsidRDefault="00B0639D" w:rsidP="000F4D5A">
      <w:pPr>
        <w:spacing w:after="0"/>
        <w:ind w:left="7920"/>
        <w:rPr>
          <w:rFonts w:ascii="Calibri" w:hAnsi="Calibri" w:cs="Calibri"/>
          <w:b/>
          <w:bCs/>
        </w:rPr>
      </w:pPr>
      <w:r w:rsidRPr="000F4D5A">
        <w:rPr>
          <w:rFonts w:ascii="Calibri" w:hAnsi="Calibri" w:cs="Calibri"/>
          <w:b/>
          <w:bCs/>
        </w:rPr>
        <w:t xml:space="preserve">                                                                                                                                                                                   15 marks</w:t>
      </w:r>
    </w:p>
    <w:bookmarkEnd w:id="1"/>
    <w:p w14:paraId="5314FB78" w14:textId="77777777" w:rsidR="00B0639D" w:rsidRPr="000F4D5A" w:rsidRDefault="00B0639D" w:rsidP="00B0639D">
      <w:pPr>
        <w:spacing w:after="0"/>
        <w:rPr>
          <w:rFonts w:ascii="Calibri" w:hAnsi="Calibri" w:cs="Calibri"/>
          <w:b/>
          <w:bCs/>
        </w:rPr>
      </w:pPr>
    </w:p>
    <w:p w14:paraId="670000E9" w14:textId="77777777" w:rsidR="00B0639D" w:rsidRPr="000F4D5A" w:rsidRDefault="00B0639D" w:rsidP="00B0639D">
      <w:pPr>
        <w:spacing w:after="0"/>
        <w:rPr>
          <w:rFonts w:ascii="Calibri" w:hAnsi="Calibri" w:cs="Calibri"/>
        </w:rPr>
      </w:pPr>
      <w:r w:rsidRPr="000F4D5A">
        <w:rPr>
          <w:rFonts w:ascii="Calibri" w:hAnsi="Calibri" w:cs="Calibri"/>
        </w:rPr>
        <w:t>Relevant section of the Manual is Part 1 Chapters 1.1.2, 1.1.3 and 1.1.4</w:t>
      </w:r>
    </w:p>
    <w:p w14:paraId="062FCE14" w14:textId="77777777" w:rsidR="00B0639D" w:rsidRPr="000F4D5A" w:rsidRDefault="00B0639D" w:rsidP="00B0639D">
      <w:pPr>
        <w:spacing w:after="0"/>
        <w:rPr>
          <w:rFonts w:ascii="Calibri" w:hAnsi="Calibri" w:cs="Calibri"/>
        </w:rPr>
      </w:pPr>
    </w:p>
    <w:p w14:paraId="73018A2A" w14:textId="77777777" w:rsidR="00B0639D" w:rsidRPr="000F4D5A" w:rsidRDefault="00B0639D" w:rsidP="00B0639D">
      <w:pPr>
        <w:spacing w:after="0"/>
        <w:rPr>
          <w:rFonts w:ascii="Calibri" w:hAnsi="Calibri" w:cs="Calibri"/>
        </w:rPr>
      </w:pPr>
      <w:r w:rsidRPr="000F4D5A">
        <w:rPr>
          <w:rFonts w:ascii="Calibri" w:hAnsi="Calibri" w:cs="Calibri"/>
        </w:rPr>
        <w:t xml:space="preserve">Format: descriptive and comparative prose </w:t>
      </w:r>
    </w:p>
    <w:p w14:paraId="1D1E503E" w14:textId="77777777" w:rsidR="00B0639D" w:rsidRPr="000F4D5A" w:rsidRDefault="00B0639D" w:rsidP="00B0639D">
      <w:pPr>
        <w:spacing w:after="0"/>
        <w:rPr>
          <w:rFonts w:ascii="Calibri" w:hAnsi="Calibri" w:cs="Calibri"/>
        </w:rPr>
      </w:pPr>
    </w:p>
    <w:p w14:paraId="2EF90C0D" w14:textId="77777777" w:rsidR="00B0639D" w:rsidRPr="000F4D5A" w:rsidRDefault="00B0639D" w:rsidP="00B0639D">
      <w:pPr>
        <w:spacing w:after="0"/>
        <w:rPr>
          <w:rFonts w:ascii="Calibri" w:hAnsi="Calibri" w:cs="Calibri"/>
          <w:b/>
          <w:bCs/>
        </w:rPr>
      </w:pPr>
    </w:p>
    <w:p w14:paraId="23502B09"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Security – funds separate from employer.</w:t>
      </w:r>
    </w:p>
    <w:p w14:paraId="558FC9B7"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Level of security depends on the size of the fund.</w:t>
      </w:r>
    </w:p>
    <w:p w14:paraId="083A5C55"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Stability and Cashflow – effects of not funding in advance</w:t>
      </w:r>
    </w:p>
    <w:p w14:paraId="41F4DD1B"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Taxation-tax relief payable – changes the timing of the relief</w:t>
      </w:r>
    </w:p>
    <w:p w14:paraId="69D31F6F"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 xml:space="preserve">Accounting Standards – liabilities should be provided for as they fall due. </w:t>
      </w:r>
    </w:p>
    <w:p w14:paraId="6369E23A" w14:textId="77777777" w:rsidR="00B0639D" w:rsidRPr="000F4D5A" w:rsidRDefault="00B0639D" w:rsidP="00B0639D">
      <w:pPr>
        <w:pStyle w:val="ListParagraph"/>
        <w:spacing w:after="0"/>
        <w:ind w:left="1125"/>
        <w:rPr>
          <w:rFonts w:ascii="Calibri" w:hAnsi="Calibri" w:cs="Calibri"/>
        </w:rPr>
      </w:pPr>
    </w:p>
    <w:p w14:paraId="3B66DFFB" w14:textId="77777777" w:rsidR="00B0639D" w:rsidRPr="000F4D5A" w:rsidRDefault="00B0639D">
      <w:pPr>
        <w:rPr>
          <w:rFonts w:ascii="Calibri" w:hAnsi="Calibri" w:cs="Calibri"/>
        </w:rPr>
      </w:pPr>
    </w:p>
    <w:sectPr w:rsidR="00B0639D" w:rsidRPr="000F4D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30E8" w14:textId="77777777" w:rsidR="001B6D2F" w:rsidRDefault="001B6D2F" w:rsidP="001B6D2F">
      <w:pPr>
        <w:spacing w:after="0" w:line="240" w:lineRule="auto"/>
      </w:pPr>
      <w:r>
        <w:separator/>
      </w:r>
    </w:p>
  </w:endnote>
  <w:endnote w:type="continuationSeparator" w:id="0">
    <w:p w14:paraId="188D54B5" w14:textId="77777777" w:rsidR="001B6D2F" w:rsidRDefault="001B6D2F" w:rsidP="001B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053A" w14:textId="77777777" w:rsidR="001B6D2F" w:rsidRDefault="001B6D2F" w:rsidP="001B6D2F">
    <w:pPr>
      <w:pStyle w:val="Footer"/>
    </w:pPr>
    <w:r>
      <w:rPr>
        <w:rFonts w:ascii="Segoe UI" w:hAnsi="Segoe UI" w:cs="Segoe UI"/>
        <w:color w:val="242424"/>
        <w:sz w:val="20"/>
        <w:szCs w:val="20"/>
        <w:shd w:val="clear" w:color="auto" w:fill="FFFFFF"/>
      </w:rPr>
      <w:t>PUBLIC - Unrestricted Access</w:t>
    </w:r>
  </w:p>
  <w:p w14:paraId="6709A3D9" w14:textId="77777777" w:rsidR="001B6D2F" w:rsidRDefault="001B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30A" w14:textId="77777777" w:rsidR="001B6D2F" w:rsidRDefault="001B6D2F" w:rsidP="001B6D2F">
      <w:pPr>
        <w:spacing w:after="0" w:line="240" w:lineRule="auto"/>
      </w:pPr>
      <w:r>
        <w:separator/>
      </w:r>
    </w:p>
  </w:footnote>
  <w:footnote w:type="continuationSeparator" w:id="0">
    <w:p w14:paraId="1F4A0814" w14:textId="77777777" w:rsidR="001B6D2F" w:rsidRDefault="001B6D2F" w:rsidP="001B6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3E70BF2"/>
    <w:multiLevelType w:val="hybridMultilevel"/>
    <w:tmpl w:val="03F2B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86047D"/>
    <w:multiLevelType w:val="hybridMultilevel"/>
    <w:tmpl w:val="A2288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CF056DB"/>
    <w:multiLevelType w:val="hybridMultilevel"/>
    <w:tmpl w:val="DFAE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319264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083582">
    <w:abstractNumId w:val="8"/>
  </w:num>
  <w:num w:numId="3" w16cid:durableId="455829793">
    <w:abstractNumId w:val="6"/>
  </w:num>
  <w:num w:numId="4" w16cid:durableId="761409962">
    <w:abstractNumId w:val="7"/>
  </w:num>
  <w:num w:numId="5" w16cid:durableId="929701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869222">
    <w:abstractNumId w:val="5"/>
  </w:num>
  <w:num w:numId="7" w16cid:durableId="1217207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8743872">
    <w:abstractNumId w:val="4"/>
  </w:num>
  <w:num w:numId="9" w16cid:durableId="112827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8470073">
    <w:abstractNumId w:val="3"/>
  </w:num>
  <w:num w:numId="11" w16cid:durableId="608970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9D"/>
    <w:rsid w:val="000F4D5A"/>
    <w:rsid w:val="001B6D2F"/>
    <w:rsid w:val="009A4891"/>
    <w:rsid w:val="00A357D3"/>
    <w:rsid w:val="00B0639D"/>
    <w:rsid w:val="00FB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1E8B"/>
  <w15:chartTrackingRefBased/>
  <w15:docId w15:val="{92F28A67-1174-4ED9-8FC6-94CD3A55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9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9D"/>
    <w:pPr>
      <w:ind w:left="720"/>
      <w:contextualSpacing/>
    </w:pPr>
  </w:style>
  <w:style w:type="paragraph" w:customStyle="1" w:styleId="Default">
    <w:name w:val="Default"/>
    <w:rsid w:val="00A357D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1B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2F"/>
    <w:rPr>
      <w:kern w:val="0"/>
      <w14:ligatures w14:val="none"/>
    </w:rPr>
  </w:style>
  <w:style w:type="paragraph" w:styleId="Footer">
    <w:name w:val="footer"/>
    <w:basedOn w:val="Normal"/>
    <w:link w:val="FooterChar"/>
    <w:uiPriority w:val="99"/>
    <w:unhideWhenUsed/>
    <w:rsid w:val="001B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2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5454">
      <w:bodyDiv w:val="1"/>
      <w:marLeft w:val="0"/>
      <w:marRight w:val="0"/>
      <w:marTop w:val="0"/>
      <w:marBottom w:val="0"/>
      <w:divBdr>
        <w:top w:val="none" w:sz="0" w:space="0" w:color="auto"/>
        <w:left w:val="none" w:sz="0" w:space="0" w:color="auto"/>
        <w:bottom w:val="none" w:sz="0" w:space="0" w:color="auto"/>
        <w:right w:val="none" w:sz="0" w:space="0" w:color="auto"/>
      </w:divBdr>
    </w:div>
    <w:div w:id="534346551">
      <w:bodyDiv w:val="1"/>
      <w:marLeft w:val="0"/>
      <w:marRight w:val="0"/>
      <w:marTop w:val="0"/>
      <w:marBottom w:val="0"/>
      <w:divBdr>
        <w:top w:val="none" w:sz="0" w:space="0" w:color="auto"/>
        <w:left w:val="none" w:sz="0" w:space="0" w:color="auto"/>
        <w:bottom w:val="none" w:sz="0" w:space="0" w:color="auto"/>
        <w:right w:val="none" w:sz="0" w:space="0" w:color="auto"/>
      </w:divBdr>
    </w:div>
    <w:div w:id="1385716730">
      <w:bodyDiv w:val="1"/>
      <w:marLeft w:val="0"/>
      <w:marRight w:val="0"/>
      <w:marTop w:val="0"/>
      <w:marBottom w:val="0"/>
      <w:divBdr>
        <w:top w:val="none" w:sz="0" w:space="0" w:color="auto"/>
        <w:left w:val="none" w:sz="0" w:space="0" w:color="auto"/>
        <w:bottom w:val="none" w:sz="0" w:space="0" w:color="auto"/>
        <w:right w:val="none" w:sz="0" w:space="0" w:color="auto"/>
      </w:divBdr>
    </w:div>
    <w:div w:id="1969049629">
      <w:bodyDiv w:val="1"/>
      <w:marLeft w:val="0"/>
      <w:marRight w:val="0"/>
      <w:marTop w:val="0"/>
      <w:marBottom w:val="0"/>
      <w:divBdr>
        <w:top w:val="none" w:sz="0" w:space="0" w:color="auto"/>
        <w:left w:val="none" w:sz="0" w:space="0" w:color="auto"/>
        <w:bottom w:val="none" w:sz="0" w:space="0" w:color="auto"/>
        <w:right w:val="none" w:sz="0" w:space="0" w:color="auto"/>
      </w:divBdr>
    </w:div>
    <w:div w:id="20927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Ryan Miranda</cp:lastModifiedBy>
  <cp:revision>5</cp:revision>
  <dcterms:created xsi:type="dcterms:W3CDTF">2023-04-27T11:46:00Z</dcterms:created>
  <dcterms:modified xsi:type="dcterms:W3CDTF">2023-05-03T09:22:00Z</dcterms:modified>
</cp:coreProperties>
</file>