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5789" w14:textId="67D7A68A" w:rsidR="00022F02" w:rsidRDefault="00460ADF" w:rsidP="00460ADF">
      <w:pPr>
        <w:spacing w:after="44"/>
        <w:ind w:left="2880" w:right="-1213"/>
      </w:pPr>
      <w:r w:rsidRPr="002662E3">
        <w:rPr>
          <w:noProof/>
        </w:rPr>
        <w:drawing>
          <wp:inline distT="0" distB="0" distL="0" distR="0" wp14:anchorId="571CF930" wp14:editId="0D908659">
            <wp:extent cx="2208628" cy="1428742"/>
            <wp:effectExtent l="0" t="0" r="1270" b="63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576" cy="143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CF556" w14:textId="77777777" w:rsidR="00022F02" w:rsidRDefault="00507027">
      <w:pPr>
        <w:spacing w:after="80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Arial" w:eastAsia="Arial" w:hAnsi="Arial" w:cs="Arial"/>
          <w:sz w:val="19"/>
        </w:rPr>
        <w:t xml:space="preserve"> </w:t>
      </w:r>
    </w:p>
    <w:p w14:paraId="4DBBF00A" w14:textId="6FD95229" w:rsidR="00022F02" w:rsidRDefault="00507027" w:rsidP="00460ADF">
      <w:pPr>
        <w:spacing w:after="213"/>
        <w:jc w:val="center"/>
      </w:pPr>
      <w:r>
        <w:rPr>
          <w:rFonts w:ascii="Arial" w:eastAsia="Arial" w:hAnsi="Arial" w:cs="Arial"/>
          <w:sz w:val="40"/>
        </w:rPr>
        <w:t>Retail Advice and Regulation</w:t>
      </w:r>
    </w:p>
    <w:p w14:paraId="3DF486DA" w14:textId="77777777" w:rsidR="00022F02" w:rsidRDefault="00507027">
      <w:pPr>
        <w:spacing w:after="108"/>
        <w:ind w:right="118"/>
        <w:jc w:val="center"/>
      </w:pPr>
      <w:r>
        <w:rPr>
          <w:rFonts w:ascii="Arial" w:eastAsia="Arial" w:hAnsi="Arial" w:cs="Arial"/>
          <w:sz w:val="19"/>
        </w:rPr>
        <w:t xml:space="preserve"> </w:t>
      </w:r>
    </w:p>
    <w:p w14:paraId="68E61D27" w14:textId="77777777" w:rsidR="00022F02" w:rsidRDefault="00507027">
      <w:pPr>
        <w:spacing w:after="0"/>
        <w:ind w:right="82"/>
        <w:jc w:val="center"/>
      </w:pPr>
      <w:r>
        <w:rPr>
          <w:rFonts w:ascii="Arial" w:eastAsia="Arial" w:hAnsi="Arial" w:cs="Arial"/>
          <w:b/>
          <w:color w:val="0000FF"/>
          <w:sz w:val="32"/>
        </w:rPr>
        <w:t xml:space="preserve">Assignment 3 </w:t>
      </w:r>
    </w:p>
    <w:p w14:paraId="5EF957B4" w14:textId="77777777" w:rsidR="00022F02" w:rsidRDefault="00507027">
      <w:pPr>
        <w:spacing w:after="0"/>
        <w:ind w:right="24"/>
        <w:jc w:val="center"/>
      </w:pPr>
      <w:r>
        <w:rPr>
          <w:rFonts w:ascii="Arial" w:eastAsia="Arial" w:hAnsi="Arial" w:cs="Arial"/>
          <w:b/>
          <w:color w:val="0000FF"/>
          <w:sz w:val="20"/>
        </w:rPr>
        <w:t xml:space="preserve"> </w:t>
      </w:r>
    </w:p>
    <w:p w14:paraId="1EA67BDE" w14:textId="77777777" w:rsidR="00022F02" w:rsidRDefault="00507027">
      <w:pPr>
        <w:spacing w:after="17"/>
        <w:ind w:left="84"/>
      </w:pPr>
      <w:r>
        <w:rPr>
          <w:rFonts w:ascii="Arial" w:eastAsia="Arial" w:hAnsi="Arial" w:cs="Arial"/>
          <w:i/>
          <w:sz w:val="20"/>
        </w:rPr>
        <w:t xml:space="preserve">(Part 3 – Investment Advice and Planning and Part 4 - Legal Concepts Relevant to Financial Advice) </w:t>
      </w:r>
    </w:p>
    <w:p w14:paraId="73EAC791" w14:textId="77777777" w:rsidR="00022F02" w:rsidRDefault="00507027">
      <w:pPr>
        <w:spacing w:after="17"/>
        <w:ind w:right="83"/>
        <w:jc w:val="center"/>
      </w:pPr>
      <w:r>
        <w:rPr>
          <w:rFonts w:ascii="Arial" w:eastAsia="Arial" w:hAnsi="Arial" w:cs="Arial"/>
          <w:i/>
          <w:sz w:val="20"/>
        </w:rPr>
        <w:t xml:space="preserve">Recommended Time: 3 hours </w:t>
      </w:r>
    </w:p>
    <w:p w14:paraId="10F6F04D" w14:textId="77777777" w:rsidR="00022F02" w:rsidRDefault="00507027">
      <w:pPr>
        <w:spacing w:after="0"/>
        <w:ind w:right="24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6C6D7FBA" w14:textId="77777777" w:rsidR="00022F02" w:rsidRDefault="00507027">
      <w:pPr>
        <w:spacing w:after="0"/>
        <w:ind w:right="24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3FCA06E5" w14:textId="77777777" w:rsidR="00022F02" w:rsidRDefault="00507027">
      <w:pPr>
        <w:numPr>
          <w:ilvl w:val="0"/>
          <w:numId w:val="1"/>
        </w:numPr>
        <w:spacing w:after="0" w:line="246" w:lineRule="auto"/>
        <w:ind w:hanging="434"/>
        <w:jc w:val="both"/>
      </w:pPr>
      <w:r>
        <w:rPr>
          <w:rFonts w:ascii="Arial" w:eastAsia="Arial" w:hAnsi="Arial" w:cs="Arial"/>
          <w:sz w:val="20"/>
        </w:rPr>
        <w:t>Explain, using an example, the difference between a partnership and a limited liability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partnership. </w:t>
      </w:r>
    </w:p>
    <w:p w14:paraId="447750A3" w14:textId="77777777" w:rsidR="00022F02" w:rsidRDefault="00507027">
      <w:pPr>
        <w:spacing w:after="0"/>
        <w:ind w:left="36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05D6810" w14:textId="77777777" w:rsidR="00022F02" w:rsidRDefault="00507027">
      <w:pPr>
        <w:spacing w:after="96"/>
        <w:ind w:right="81"/>
        <w:jc w:val="right"/>
      </w:pPr>
      <w:r>
        <w:rPr>
          <w:rFonts w:ascii="Arial" w:eastAsia="Arial" w:hAnsi="Arial" w:cs="Arial"/>
          <w:b/>
          <w:sz w:val="20"/>
        </w:rPr>
        <w:t xml:space="preserve">5 marks </w:t>
      </w:r>
    </w:p>
    <w:p w14:paraId="0A6E0868" w14:textId="77777777" w:rsidR="00022F02" w:rsidRDefault="00507027">
      <w:pPr>
        <w:spacing w:after="0"/>
        <w:ind w:left="33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14:paraId="3A45220C" w14:textId="77777777" w:rsidR="00022F02" w:rsidRDefault="00507027">
      <w:pPr>
        <w:spacing w:after="39"/>
        <w:ind w:left="5331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0937FCE8" w14:textId="77777777" w:rsidR="00022F02" w:rsidRDefault="00507027">
      <w:pPr>
        <w:numPr>
          <w:ilvl w:val="0"/>
          <w:numId w:val="1"/>
        </w:numPr>
        <w:spacing w:after="12" w:line="268" w:lineRule="auto"/>
        <w:ind w:hanging="434"/>
        <w:jc w:val="both"/>
      </w:pPr>
      <w:r>
        <w:rPr>
          <w:rFonts w:ascii="Arial" w:eastAsia="Arial" w:hAnsi="Arial" w:cs="Arial"/>
          <w:sz w:val="19"/>
        </w:rPr>
        <w:t xml:space="preserve">Outline how you might ascertain your client’s attitude to risk, why it is important to do so and explain typical higher and lower risk investment strategies. </w:t>
      </w:r>
    </w:p>
    <w:p w14:paraId="43EDFBE4" w14:textId="77777777" w:rsidR="00022F02" w:rsidRDefault="00507027">
      <w:pPr>
        <w:spacing w:after="17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1BE528BB" w14:textId="77777777" w:rsidR="00022F02" w:rsidRDefault="00507027">
      <w:pPr>
        <w:spacing w:after="18"/>
        <w:ind w:left="10" w:right="65" w:hanging="10"/>
        <w:jc w:val="right"/>
      </w:pPr>
      <w:r>
        <w:rPr>
          <w:rFonts w:ascii="Arial" w:eastAsia="Arial" w:hAnsi="Arial" w:cs="Arial"/>
          <w:b/>
          <w:sz w:val="19"/>
        </w:rPr>
        <w:t xml:space="preserve">30 marks </w:t>
      </w:r>
    </w:p>
    <w:p w14:paraId="41584BAD" w14:textId="77777777" w:rsidR="00022F02" w:rsidRDefault="00507027">
      <w:pPr>
        <w:spacing w:after="14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735BF919" w14:textId="77777777" w:rsidR="00022F02" w:rsidRDefault="00507027">
      <w:pPr>
        <w:spacing w:after="17"/>
        <w:ind w:left="5331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2A701856" w14:textId="77777777" w:rsidR="00022F02" w:rsidRDefault="00507027">
      <w:pPr>
        <w:numPr>
          <w:ilvl w:val="0"/>
          <w:numId w:val="1"/>
        </w:numPr>
        <w:spacing w:after="12" w:line="268" w:lineRule="auto"/>
        <w:ind w:hanging="434"/>
        <w:jc w:val="both"/>
      </w:pPr>
      <w:r>
        <w:rPr>
          <w:rFonts w:ascii="Arial" w:eastAsia="Arial" w:hAnsi="Arial" w:cs="Arial"/>
          <w:sz w:val="19"/>
        </w:rPr>
        <w:t xml:space="preserve">Describe how and when an adviser should report on portfolio performance to a client. </w:t>
      </w:r>
      <w:r>
        <w:rPr>
          <w:rFonts w:ascii="Arial" w:eastAsia="Arial" w:hAnsi="Arial" w:cs="Arial"/>
          <w:sz w:val="19"/>
        </w:rPr>
        <w:tab/>
        <w:t xml:space="preserve"> </w:t>
      </w:r>
    </w:p>
    <w:p w14:paraId="29627695" w14:textId="77777777" w:rsidR="00022F02" w:rsidRDefault="00507027">
      <w:pPr>
        <w:spacing w:after="17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416BF5B7" w14:textId="77777777" w:rsidR="00022F02" w:rsidRDefault="00507027">
      <w:pPr>
        <w:spacing w:after="18"/>
        <w:ind w:left="10" w:right="65" w:hanging="10"/>
        <w:jc w:val="right"/>
      </w:pPr>
      <w:r>
        <w:rPr>
          <w:rFonts w:ascii="Arial" w:eastAsia="Arial" w:hAnsi="Arial" w:cs="Arial"/>
          <w:b/>
          <w:sz w:val="19"/>
        </w:rPr>
        <w:t xml:space="preserve">15 marks </w:t>
      </w:r>
    </w:p>
    <w:p w14:paraId="65BE412C" w14:textId="77777777" w:rsidR="00022F02" w:rsidRDefault="00507027">
      <w:pPr>
        <w:spacing w:after="17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4ED73111" w14:textId="77777777" w:rsidR="00022F02" w:rsidRDefault="00507027">
      <w:pPr>
        <w:spacing w:after="17"/>
        <w:ind w:left="5331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30822B39" w14:textId="77777777" w:rsidR="00022F02" w:rsidRDefault="00507027">
      <w:pPr>
        <w:numPr>
          <w:ilvl w:val="0"/>
          <w:numId w:val="1"/>
        </w:numPr>
        <w:spacing w:after="12" w:line="268" w:lineRule="auto"/>
        <w:ind w:hanging="434"/>
        <w:jc w:val="both"/>
      </w:pPr>
      <w:r>
        <w:rPr>
          <w:rFonts w:ascii="Arial" w:eastAsia="Arial" w:hAnsi="Arial" w:cs="Arial"/>
          <w:sz w:val="19"/>
        </w:rPr>
        <w:t xml:space="preserve">Describe the main types of trusts and how they can be created.  </w:t>
      </w:r>
    </w:p>
    <w:p w14:paraId="0CC0FF94" w14:textId="77777777" w:rsidR="00022F02" w:rsidRDefault="00507027">
      <w:pPr>
        <w:tabs>
          <w:tab w:val="center" w:pos="1046"/>
          <w:tab w:val="center" w:pos="1766"/>
          <w:tab w:val="center" w:pos="2486"/>
          <w:tab w:val="center" w:pos="3207"/>
          <w:tab w:val="center" w:pos="3927"/>
          <w:tab w:val="center" w:pos="4647"/>
          <w:tab w:val="center" w:pos="5367"/>
          <w:tab w:val="center" w:pos="6087"/>
          <w:tab w:val="center" w:pos="6807"/>
          <w:tab w:val="center" w:pos="7527"/>
          <w:tab w:val="right" w:pos="9124"/>
        </w:tabs>
        <w:spacing w:after="18"/>
      </w:pPr>
      <w:r>
        <w:tab/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10 marks </w:t>
      </w:r>
    </w:p>
    <w:p w14:paraId="63198A62" w14:textId="77777777" w:rsidR="00022F02" w:rsidRDefault="00507027">
      <w:pPr>
        <w:spacing w:after="17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65DEC597" w14:textId="77777777" w:rsidR="00022F02" w:rsidRDefault="00507027">
      <w:pPr>
        <w:spacing w:after="14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2E4F1297" w14:textId="77777777" w:rsidR="00022F02" w:rsidRDefault="00507027">
      <w:pPr>
        <w:numPr>
          <w:ilvl w:val="0"/>
          <w:numId w:val="1"/>
        </w:numPr>
        <w:spacing w:after="12" w:line="268" w:lineRule="auto"/>
        <w:ind w:hanging="434"/>
        <w:jc w:val="both"/>
      </w:pPr>
      <w:r>
        <w:rPr>
          <w:rFonts w:ascii="Arial" w:eastAsia="Arial" w:hAnsi="Arial" w:cs="Arial"/>
          <w:sz w:val="19"/>
        </w:rPr>
        <w:t xml:space="preserve">Outline the differences between Enduring and Lasting Power of Attorney.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</w:p>
    <w:p w14:paraId="2A88F171" w14:textId="77777777" w:rsidR="00022F02" w:rsidRDefault="00507027">
      <w:pPr>
        <w:spacing w:after="17"/>
        <w:ind w:left="434"/>
      </w:pPr>
      <w:r>
        <w:rPr>
          <w:rFonts w:ascii="Arial" w:eastAsia="Arial" w:hAnsi="Arial" w:cs="Arial"/>
          <w:sz w:val="19"/>
        </w:rPr>
        <w:t xml:space="preserve">  </w:t>
      </w:r>
    </w:p>
    <w:p w14:paraId="62A33392" w14:textId="77777777" w:rsidR="00022F02" w:rsidRDefault="00507027">
      <w:pPr>
        <w:tabs>
          <w:tab w:val="center" w:pos="1020"/>
          <w:tab w:val="center" w:pos="1500"/>
          <w:tab w:val="center" w:pos="5341"/>
          <w:tab w:val="center" w:pos="6872"/>
          <w:tab w:val="center" w:pos="7501"/>
          <w:tab w:val="right" w:pos="9124"/>
        </w:tabs>
        <w:spacing w:after="52"/>
      </w:pPr>
      <w: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15 marks </w:t>
      </w:r>
    </w:p>
    <w:p w14:paraId="29FE58BC" w14:textId="77777777" w:rsidR="00022F02" w:rsidRDefault="00507027">
      <w:pPr>
        <w:spacing w:after="0" w:line="306" w:lineRule="auto"/>
        <w:ind w:right="9071"/>
      </w:pPr>
      <w:r>
        <w:t xml:space="preserve"> </w:t>
      </w:r>
      <w:r>
        <w:rPr>
          <w:rFonts w:ascii="Arial" w:eastAsia="Arial" w:hAnsi="Arial" w:cs="Arial"/>
          <w:b/>
          <w:sz w:val="19"/>
        </w:rPr>
        <w:t xml:space="preserve"> </w:t>
      </w:r>
    </w:p>
    <w:p w14:paraId="1D9EDEF8" w14:textId="77777777" w:rsidR="00022F02" w:rsidRDefault="00507027">
      <w:pPr>
        <w:numPr>
          <w:ilvl w:val="0"/>
          <w:numId w:val="1"/>
        </w:numPr>
        <w:spacing w:after="12" w:line="268" w:lineRule="auto"/>
        <w:ind w:hanging="434"/>
        <w:jc w:val="both"/>
      </w:pPr>
      <w:r>
        <w:rPr>
          <w:rFonts w:ascii="Arial" w:eastAsia="Arial" w:hAnsi="Arial" w:cs="Arial"/>
          <w:sz w:val="19"/>
        </w:rPr>
        <w:t xml:space="preserve">Explain the difference between bankruptcy and insolvency. </w:t>
      </w:r>
    </w:p>
    <w:p w14:paraId="72DC8C2F" w14:textId="77777777" w:rsidR="00022F02" w:rsidRDefault="00507027">
      <w:pPr>
        <w:spacing w:after="17"/>
      </w:pPr>
      <w:r>
        <w:rPr>
          <w:rFonts w:ascii="Arial" w:eastAsia="Arial" w:hAnsi="Arial" w:cs="Arial"/>
          <w:sz w:val="19"/>
        </w:rPr>
        <w:t xml:space="preserve"> </w:t>
      </w:r>
    </w:p>
    <w:p w14:paraId="11FADAD7" w14:textId="77777777" w:rsidR="00022F02" w:rsidRDefault="00507027">
      <w:pPr>
        <w:tabs>
          <w:tab w:val="center" w:pos="1020"/>
          <w:tab w:val="center" w:pos="1500"/>
          <w:tab w:val="center" w:pos="5341"/>
          <w:tab w:val="center" w:pos="6872"/>
          <w:tab w:val="center" w:pos="7501"/>
          <w:tab w:val="right" w:pos="9124"/>
        </w:tabs>
        <w:spacing w:after="18"/>
      </w:pPr>
      <w:r>
        <w:tab/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10 marks </w:t>
      </w:r>
    </w:p>
    <w:p w14:paraId="5FAA3602" w14:textId="682D93B6" w:rsidR="00022F02" w:rsidRDefault="00507027">
      <w:pPr>
        <w:spacing w:after="17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37889139" w14:textId="0D3804F6" w:rsidR="006C1EC4" w:rsidRDefault="006C1EC4">
      <w:pPr>
        <w:spacing w:after="17"/>
        <w:rPr>
          <w:rFonts w:ascii="Arial" w:eastAsia="Arial" w:hAnsi="Arial" w:cs="Arial"/>
          <w:b/>
          <w:sz w:val="19"/>
        </w:rPr>
      </w:pPr>
    </w:p>
    <w:p w14:paraId="39230F42" w14:textId="110D322B" w:rsidR="006C1EC4" w:rsidRDefault="006C1EC4">
      <w:pPr>
        <w:spacing w:after="17"/>
        <w:rPr>
          <w:rFonts w:ascii="Arial" w:eastAsia="Arial" w:hAnsi="Arial" w:cs="Arial"/>
          <w:b/>
          <w:sz w:val="19"/>
        </w:rPr>
      </w:pPr>
    </w:p>
    <w:p w14:paraId="424A5145" w14:textId="381CA001" w:rsidR="006C1EC4" w:rsidRDefault="006C1EC4">
      <w:pPr>
        <w:spacing w:after="17"/>
        <w:rPr>
          <w:rFonts w:ascii="Arial" w:eastAsia="Arial" w:hAnsi="Arial" w:cs="Arial"/>
          <w:b/>
          <w:sz w:val="19"/>
        </w:rPr>
      </w:pPr>
    </w:p>
    <w:p w14:paraId="3D331B55" w14:textId="6CAC64F7" w:rsidR="006C1EC4" w:rsidRDefault="006C1EC4">
      <w:pPr>
        <w:spacing w:after="17"/>
        <w:rPr>
          <w:rFonts w:ascii="Arial" w:eastAsia="Arial" w:hAnsi="Arial" w:cs="Arial"/>
          <w:b/>
          <w:sz w:val="19"/>
        </w:rPr>
      </w:pPr>
    </w:p>
    <w:p w14:paraId="2CAA56CF" w14:textId="77777777" w:rsidR="006C1EC4" w:rsidRDefault="006C1EC4">
      <w:pPr>
        <w:spacing w:after="17"/>
      </w:pPr>
    </w:p>
    <w:p w14:paraId="1FE6C4A5" w14:textId="77777777" w:rsidR="00022F02" w:rsidRDefault="00507027">
      <w:pPr>
        <w:numPr>
          <w:ilvl w:val="0"/>
          <w:numId w:val="1"/>
        </w:numPr>
        <w:spacing w:after="12" w:line="268" w:lineRule="auto"/>
        <w:ind w:hanging="434"/>
        <w:jc w:val="both"/>
      </w:pPr>
      <w:r>
        <w:rPr>
          <w:rFonts w:ascii="Arial" w:eastAsia="Arial" w:hAnsi="Arial" w:cs="Arial"/>
          <w:sz w:val="19"/>
        </w:rPr>
        <w:t xml:space="preserve">Write brief notes on the following forms of property ownership in the UK: </w:t>
      </w:r>
    </w:p>
    <w:p w14:paraId="7312A037" w14:textId="77777777" w:rsidR="00022F02" w:rsidRDefault="00507027">
      <w:pPr>
        <w:spacing w:after="17"/>
      </w:pPr>
      <w:r>
        <w:rPr>
          <w:rFonts w:ascii="Arial" w:eastAsia="Arial" w:hAnsi="Arial" w:cs="Arial"/>
          <w:sz w:val="19"/>
        </w:rPr>
        <w:t xml:space="preserve"> </w:t>
      </w:r>
    </w:p>
    <w:p w14:paraId="2C99599D" w14:textId="77777777" w:rsidR="00022F02" w:rsidRDefault="00507027">
      <w:pPr>
        <w:numPr>
          <w:ilvl w:val="1"/>
          <w:numId w:val="1"/>
        </w:numPr>
        <w:spacing w:after="12" w:line="268" w:lineRule="auto"/>
        <w:ind w:right="3344" w:hanging="425"/>
        <w:jc w:val="both"/>
      </w:pPr>
      <w:proofErr w:type="gramStart"/>
      <w:r>
        <w:rPr>
          <w:rFonts w:ascii="Arial" w:eastAsia="Arial" w:hAnsi="Arial" w:cs="Arial"/>
          <w:sz w:val="19"/>
        </w:rPr>
        <w:t>Freehold;</w:t>
      </w:r>
      <w:proofErr w:type="gramEnd"/>
      <w:r>
        <w:rPr>
          <w:rFonts w:ascii="Arial" w:eastAsia="Arial" w:hAnsi="Arial" w:cs="Arial"/>
          <w:sz w:val="19"/>
        </w:rPr>
        <w:t xml:space="preserve"> </w:t>
      </w:r>
    </w:p>
    <w:p w14:paraId="73674D5C" w14:textId="77777777" w:rsidR="006C1EC4" w:rsidRPr="006C1EC4" w:rsidRDefault="00507027">
      <w:pPr>
        <w:numPr>
          <w:ilvl w:val="1"/>
          <w:numId w:val="1"/>
        </w:numPr>
        <w:spacing w:after="12" w:line="268" w:lineRule="auto"/>
        <w:ind w:right="3344" w:hanging="425"/>
        <w:jc w:val="both"/>
      </w:pPr>
      <w:proofErr w:type="gramStart"/>
      <w:r>
        <w:rPr>
          <w:rFonts w:ascii="Arial" w:eastAsia="Arial" w:hAnsi="Arial" w:cs="Arial"/>
          <w:sz w:val="19"/>
        </w:rPr>
        <w:t>Leasehold;</w:t>
      </w:r>
      <w:proofErr w:type="gramEnd"/>
      <w:r>
        <w:rPr>
          <w:rFonts w:ascii="Arial" w:eastAsia="Arial" w:hAnsi="Arial" w:cs="Arial"/>
          <w:sz w:val="19"/>
        </w:rPr>
        <w:t xml:space="preserve"> </w:t>
      </w:r>
    </w:p>
    <w:p w14:paraId="6CB0E758" w14:textId="0513EB11" w:rsidR="006C1EC4" w:rsidRPr="006C1EC4" w:rsidRDefault="00507027">
      <w:pPr>
        <w:numPr>
          <w:ilvl w:val="1"/>
          <w:numId w:val="1"/>
        </w:numPr>
        <w:spacing w:after="12" w:line="268" w:lineRule="auto"/>
        <w:ind w:right="3344" w:hanging="425"/>
        <w:jc w:val="both"/>
      </w:pPr>
      <w:proofErr w:type="gramStart"/>
      <w:r>
        <w:rPr>
          <w:rFonts w:ascii="Arial" w:eastAsia="Arial" w:hAnsi="Arial" w:cs="Arial"/>
          <w:sz w:val="19"/>
        </w:rPr>
        <w:t>Commonhold;</w:t>
      </w:r>
      <w:proofErr w:type="gramEnd"/>
      <w:r>
        <w:rPr>
          <w:rFonts w:ascii="Arial" w:eastAsia="Arial" w:hAnsi="Arial" w:cs="Arial"/>
          <w:sz w:val="19"/>
        </w:rPr>
        <w:t xml:space="preserve">  </w:t>
      </w:r>
    </w:p>
    <w:p w14:paraId="120FAACA" w14:textId="4D2A1DC0" w:rsidR="00022F02" w:rsidRDefault="00507027">
      <w:pPr>
        <w:numPr>
          <w:ilvl w:val="1"/>
          <w:numId w:val="1"/>
        </w:numPr>
        <w:spacing w:after="12" w:line="268" w:lineRule="auto"/>
        <w:ind w:right="3344" w:hanging="425"/>
        <w:jc w:val="both"/>
      </w:pPr>
      <w:r>
        <w:rPr>
          <w:rFonts w:ascii="Arial" w:eastAsia="Arial" w:hAnsi="Arial" w:cs="Arial"/>
          <w:sz w:val="19"/>
        </w:rPr>
        <w:t xml:space="preserve">Shared ownership. </w:t>
      </w:r>
    </w:p>
    <w:p w14:paraId="7E17B72F" w14:textId="77777777" w:rsidR="00022F02" w:rsidRDefault="00507027">
      <w:pPr>
        <w:spacing w:after="14"/>
      </w:pPr>
      <w:r>
        <w:rPr>
          <w:rFonts w:ascii="Arial" w:eastAsia="Arial" w:hAnsi="Arial" w:cs="Arial"/>
          <w:sz w:val="19"/>
        </w:rPr>
        <w:t xml:space="preserve"> </w:t>
      </w:r>
    </w:p>
    <w:p w14:paraId="6EDB81EE" w14:textId="77777777" w:rsidR="00022F02" w:rsidRDefault="00507027">
      <w:pPr>
        <w:tabs>
          <w:tab w:val="center" w:pos="1020"/>
          <w:tab w:val="center" w:pos="1500"/>
          <w:tab w:val="center" w:pos="5341"/>
          <w:tab w:val="center" w:pos="6872"/>
          <w:tab w:val="center" w:pos="7501"/>
          <w:tab w:val="right" w:pos="9124"/>
        </w:tabs>
        <w:spacing w:after="140"/>
      </w:pPr>
      <w:r>
        <w:tab/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15 marks </w:t>
      </w:r>
    </w:p>
    <w:p w14:paraId="76146B0A" w14:textId="77777777" w:rsidR="00022F02" w:rsidRDefault="0050702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sectPr w:rsidR="00022F02">
      <w:footerReference w:type="default" r:id="rId8"/>
      <w:pgSz w:w="11906" w:h="16838"/>
      <w:pgMar w:top="611" w:right="1364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41C0" w14:textId="77777777" w:rsidR="00F76D48" w:rsidRDefault="00F76D48" w:rsidP="00F76D48">
      <w:pPr>
        <w:spacing w:after="0" w:line="240" w:lineRule="auto"/>
      </w:pPr>
      <w:r>
        <w:separator/>
      </w:r>
    </w:p>
  </w:endnote>
  <w:endnote w:type="continuationSeparator" w:id="0">
    <w:p w14:paraId="172179F1" w14:textId="77777777" w:rsidR="00F76D48" w:rsidRDefault="00F76D48" w:rsidP="00F7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D4BB" w14:textId="77777777" w:rsidR="00F76D48" w:rsidRDefault="00F76D48" w:rsidP="00F76D48">
    <w:pPr>
      <w:tabs>
        <w:tab w:val="center" w:pos="4321"/>
        <w:tab w:val="right" w:pos="9124"/>
      </w:tabs>
      <w:spacing w:after="0"/>
      <w:ind w:left="-15"/>
    </w:pPr>
    <w:r>
      <w:rPr>
        <w:rFonts w:ascii="Arial" w:eastAsia="Arial" w:hAnsi="Arial" w:cs="Arial"/>
        <w:sz w:val="16"/>
      </w:rPr>
      <w:t xml:space="preserve">Retail Advice and Regulation Assignment 3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2023 Edition </w:t>
    </w:r>
  </w:p>
  <w:p w14:paraId="510CFB39" w14:textId="77777777" w:rsidR="00F76D48" w:rsidRDefault="00F76D48" w:rsidP="00F76D48">
    <w:pPr>
      <w:spacing w:after="57"/>
      <w:ind w:left="-5" w:hanging="10"/>
    </w:pPr>
    <w:r>
      <w:rPr>
        <w:rFonts w:ascii="Arial" w:eastAsia="Arial" w:hAnsi="Arial" w:cs="Arial"/>
        <w:sz w:val="16"/>
      </w:rPr>
      <w:t>© The Pensions Management Institute 2023</w:t>
    </w:r>
  </w:p>
  <w:p w14:paraId="7A0EAC1F" w14:textId="77777777" w:rsidR="00F76D48" w:rsidRDefault="00F76D48" w:rsidP="00F76D4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B677D44" w14:textId="77777777" w:rsidR="00F76D48" w:rsidRDefault="00F7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0D9D" w14:textId="77777777" w:rsidR="00F76D48" w:rsidRDefault="00F76D48" w:rsidP="00F76D48">
      <w:pPr>
        <w:spacing w:after="0" w:line="240" w:lineRule="auto"/>
      </w:pPr>
      <w:r>
        <w:separator/>
      </w:r>
    </w:p>
  </w:footnote>
  <w:footnote w:type="continuationSeparator" w:id="0">
    <w:p w14:paraId="6FF80F97" w14:textId="77777777" w:rsidR="00F76D48" w:rsidRDefault="00F76D48" w:rsidP="00F7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DF8"/>
    <w:multiLevelType w:val="hybridMultilevel"/>
    <w:tmpl w:val="377C1130"/>
    <w:lvl w:ilvl="0" w:tplc="E5B8580C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5865BE">
      <w:start w:val="1"/>
      <w:numFmt w:val="lowerRoman"/>
      <w:lvlText w:val="(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420ABA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9C92C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774A2C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04FED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321B7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DBEFE1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ADE3B2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319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02"/>
    <w:rsid w:val="00022F02"/>
    <w:rsid w:val="00264056"/>
    <w:rsid w:val="00460ADF"/>
    <w:rsid w:val="00507027"/>
    <w:rsid w:val="006C1EC4"/>
    <w:rsid w:val="00F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8950"/>
  <w15:docId w15:val="{CF2A395C-93D6-4F4C-BCB3-8C143498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4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G:\Eworking\RET\RRG\HRS BOTT\PMI Manual\PMI Manual 2013 - 2014\Assignment exercises development\Assignment Exercises-2014-Final.doc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G:\Eworking\RET\RRG\HRS BOTT\PMI Manual\PMI Manual 2013 - 2014\Assignment exercises development\Assignment Exercises-2014-Final.doc</dc:title>
  <dc:subject/>
  <dc:creator>Mercer Human Resource Consulting Limited</dc:creator>
  <cp:keywords/>
  <cp:lastModifiedBy>Ryan Miranda</cp:lastModifiedBy>
  <cp:revision>4</cp:revision>
  <dcterms:created xsi:type="dcterms:W3CDTF">2022-11-03T11:52:00Z</dcterms:created>
  <dcterms:modified xsi:type="dcterms:W3CDTF">2022-11-04T10:18:00Z</dcterms:modified>
</cp:coreProperties>
</file>