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E42F" w14:textId="7236B507" w:rsidR="00E25756" w:rsidRDefault="003B77FC" w:rsidP="003B77FC">
      <w:pPr>
        <w:spacing w:after="8" w:line="259" w:lineRule="auto"/>
        <w:ind w:left="2880" w:right="-1213" w:firstLine="0"/>
        <w:jc w:val="left"/>
      </w:pPr>
      <w:r w:rsidRPr="002662E3">
        <w:rPr>
          <w:noProof/>
        </w:rPr>
        <w:drawing>
          <wp:inline distT="0" distB="0" distL="0" distR="0" wp14:anchorId="37CBC368" wp14:editId="1F143BFC">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4E59A282" w14:textId="77777777" w:rsidR="00E25756" w:rsidRDefault="00B215DD">
      <w:pPr>
        <w:spacing w:after="52" w:line="259" w:lineRule="auto"/>
        <w:ind w:left="0" w:right="0" w:firstLine="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p w14:paraId="5423D14B" w14:textId="77777777" w:rsidR="00E25756" w:rsidRDefault="00B215DD">
      <w:pPr>
        <w:spacing w:after="0" w:line="259" w:lineRule="auto"/>
        <w:ind w:left="0" w:right="56" w:firstLine="0"/>
        <w:jc w:val="center"/>
      </w:pPr>
      <w:r>
        <w:rPr>
          <w:sz w:val="40"/>
        </w:rPr>
        <w:t xml:space="preserve">Retail Advice and Regulation </w:t>
      </w:r>
    </w:p>
    <w:p w14:paraId="7D20FB8A" w14:textId="77777777" w:rsidR="00E25756" w:rsidRDefault="00B215DD">
      <w:pPr>
        <w:spacing w:after="108" w:line="259" w:lineRule="auto"/>
        <w:ind w:left="0" w:right="118" w:firstLine="0"/>
        <w:jc w:val="center"/>
      </w:pPr>
      <w:r>
        <w:rPr>
          <w:sz w:val="19"/>
        </w:rPr>
        <w:t xml:space="preserve"> </w:t>
      </w:r>
    </w:p>
    <w:p w14:paraId="755EE067" w14:textId="77777777" w:rsidR="00E25756" w:rsidRDefault="00B215DD">
      <w:pPr>
        <w:spacing w:after="0" w:line="259" w:lineRule="auto"/>
        <w:ind w:left="0" w:right="83" w:firstLine="0"/>
        <w:jc w:val="center"/>
      </w:pPr>
      <w:r>
        <w:rPr>
          <w:b/>
          <w:color w:val="0000FF"/>
          <w:sz w:val="32"/>
        </w:rPr>
        <w:t xml:space="preserve">Assignment 1 </w:t>
      </w:r>
    </w:p>
    <w:p w14:paraId="53D3D89C" w14:textId="77777777" w:rsidR="00E25756" w:rsidRDefault="00B215DD">
      <w:pPr>
        <w:spacing w:after="0" w:line="259" w:lineRule="auto"/>
        <w:ind w:left="0" w:right="24" w:firstLine="0"/>
        <w:jc w:val="center"/>
      </w:pPr>
      <w:r>
        <w:rPr>
          <w:b/>
          <w:color w:val="0000FF"/>
        </w:rPr>
        <w:t xml:space="preserve"> </w:t>
      </w:r>
    </w:p>
    <w:p w14:paraId="0129C8FE" w14:textId="77777777" w:rsidR="00E25756" w:rsidRDefault="00B215DD">
      <w:pPr>
        <w:spacing w:after="0" w:line="259" w:lineRule="auto"/>
        <w:ind w:left="10" w:right="80" w:hanging="10"/>
        <w:jc w:val="center"/>
      </w:pPr>
      <w:r>
        <w:rPr>
          <w:i/>
        </w:rPr>
        <w:t xml:space="preserve">(Part 1 – Financial Services Regulation) </w:t>
      </w:r>
    </w:p>
    <w:p w14:paraId="019D83EF" w14:textId="2D3A10CC" w:rsidR="00E25756" w:rsidRDefault="00B215DD" w:rsidP="003B77FC">
      <w:pPr>
        <w:spacing w:after="0" w:line="259" w:lineRule="auto"/>
        <w:ind w:left="10" w:right="83" w:hanging="10"/>
        <w:jc w:val="center"/>
      </w:pPr>
      <w:r>
        <w:rPr>
          <w:i/>
        </w:rPr>
        <w:t xml:space="preserve">Recommended Time: 3 hours  </w:t>
      </w:r>
    </w:p>
    <w:p w14:paraId="12DB1875" w14:textId="77777777" w:rsidR="00E25756" w:rsidRDefault="00B215DD">
      <w:pPr>
        <w:spacing w:after="0" w:line="259" w:lineRule="auto"/>
        <w:ind w:left="0" w:right="24" w:firstLine="0"/>
        <w:jc w:val="center"/>
      </w:pPr>
      <w:r>
        <w:rPr>
          <w:i/>
        </w:rPr>
        <w:t xml:space="preserve"> </w:t>
      </w:r>
    </w:p>
    <w:p w14:paraId="680428FC" w14:textId="7C540287" w:rsidR="00E25756" w:rsidRDefault="00B215DD" w:rsidP="003B77FC">
      <w:pPr>
        <w:numPr>
          <w:ilvl w:val="0"/>
          <w:numId w:val="1"/>
        </w:numPr>
        <w:spacing w:after="0" w:line="259" w:lineRule="auto"/>
        <w:ind w:left="360" w:right="0" w:firstLine="0"/>
        <w:jc w:val="left"/>
      </w:pPr>
      <w:r>
        <w:t xml:space="preserve">Explain the impact of the Financial Services Act 2012 on the role of the Bank of England in connection with financial services and contrast it with the role of the Financial Conduct Authority (FCA). </w:t>
      </w:r>
      <w:r w:rsidRPr="003B77FC">
        <w:rPr>
          <w:b/>
        </w:rPr>
        <w:t xml:space="preserve"> </w:t>
      </w:r>
    </w:p>
    <w:p w14:paraId="02A540AA" w14:textId="77777777" w:rsidR="00E25756" w:rsidRDefault="00B215DD">
      <w:pPr>
        <w:numPr>
          <w:ilvl w:val="1"/>
          <w:numId w:val="1"/>
        </w:numPr>
        <w:spacing w:after="0" w:line="259" w:lineRule="auto"/>
        <w:ind w:right="0" w:hanging="276"/>
        <w:jc w:val="left"/>
      </w:pPr>
      <w:r>
        <w:rPr>
          <w:b/>
        </w:rPr>
        <w:t xml:space="preserve">marks </w:t>
      </w:r>
    </w:p>
    <w:p w14:paraId="18AE6991" w14:textId="77777777" w:rsidR="00E25756" w:rsidRDefault="00B215DD">
      <w:pPr>
        <w:spacing w:after="17" w:line="259" w:lineRule="auto"/>
        <w:ind w:left="0" w:right="0" w:firstLine="0"/>
        <w:jc w:val="left"/>
      </w:pPr>
      <w:r>
        <w:rPr>
          <w:b/>
        </w:rPr>
        <w:t xml:space="preserve"> </w:t>
      </w:r>
    </w:p>
    <w:p w14:paraId="76148ECE" w14:textId="77777777" w:rsidR="00E25756" w:rsidRDefault="00B215DD">
      <w:pPr>
        <w:numPr>
          <w:ilvl w:val="0"/>
          <w:numId w:val="1"/>
        </w:numPr>
        <w:ind w:right="18" w:hanging="427"/>
      </w:pPr>
      <w:r>
        <w:t xml:space="preserve">Outline the features of the FCA’s </w:t>
      </w:r>
      <w:proofErr w:type="gramStart"/>
      <w:r>
        <w:t>risk based</w:t>
      </w:r>
      <w:proofErr w:type="gramEnd"/>
      <w:r>
        <w:t xml:space="preserve"> approach to supervision. </w:t>
      </w:r>
    </w:p>
    <w:p w14:paraId="0DB76F59" w14:textId="77777777" w:rsidR="00E25756" w:rsidRDefault="00B215DD">
      <w:pPr>
        <w:spacing w:after="0" w:line="259" w:lineRule="auto"/>
        <w:ind w:left="360" w:right="0" w:firstLine="0"/>
        <w:jc w:val="left"/>
      </w:pPr>
      <w:r>
        <w:rPr>
          <w:b/>
        </w:rPr>
        <w:t xml:space="preserve"> </w:t>
      </w:r>
    </w:p>
    <w:p w14:paraId="51375C35" w14:textId="77777777" w:rsidR="00E25756" w:rsidRDefault="00B215DD">
      <w:pPr>
        <w:spacing w:after="0" w:line="259" w:lineRule="auto"/>
        <w:ind w:left="8173" w:right="0" w:hanging="10"/>
        <w:jc w:val="left"/>
      </w:pPr>
      <w:r>
        <w:rPr>
          <w:b/>
        </w:rPr>
        <w:t xml:space="preserve">15 marks </w:t>
      </w:r>
    </w:p>
    <w:p w14:paraId="53D943E8" w14:textId="77777777" w:rsidR="00E25756" w:rsidRDefault="00B215DD">
      <w:pPr>
        <w:spacing w:after="0" w:line="259" w:lineRule="auto"/>
        <w:ind w:left="0" w:right="0" w:firstLine="0"/>
        <w:jc w:val="left"/>
      </w:pPr>
      <w:r>
        <w:rPr>
          <w:b/>
        </w:rPr>
        <w:t xml:space="preserve"> </w:t>
      </w:r>
    </w:p>
    <w:p w14:paraId="510EEF46" w14:textId="77777777" w:rsidR="00E25756" w:rsidRDefault="00B215DD">
      <w:pPr>
        <w:spacing w:after="0" w:line="259" w:lineRule="auto"/>
        <w:ind w:left="0" w:right="0" w:firstLine="0"/>
        <w:jc w:val="left"/>
      </w:pPr>
      <w:r>
        <w:rPr>
          <w:b/>
        </w:rPr>
        <w:t xml:space="preserve"> </w:t>
      </w:r>
    </w:p>
    <w:p w14:paraId="44FE4205" w14:textId="77777777" w:rsidR="00E25756" w:rsidRDefault="00B215DD">
      <w:pPr>
        <w:numPr>
          <w:ilvl w:val="0"/>
          <w:numId w:val="1"/>
        </w:numPr>
        <w:spacing w:after="27"/>
        <w:ind w:right="18" w:hanging="427"/>
      </w:pPr>
      <w:r>
        <w:t xml:space="preserve">Explain the features of a typical complaints procedure that meets the Financial Conduct Authority’s (FCA’s) requirements. </w:t>
      </w:r>
    </w:p>
    <w:p w14:paraId="1644CD65" w14:textId="21EBB07B" w:rsidR="00E25756" w:rsidRDefault="00B215DD" w:rsidP="003B77FC">
      <w:pPr>
        <w:spacing w:after="0" w:line="259" w:lineRule="auto"/>
        <w:ind w:left="360" w:right="0" w:firstLine="0"/>
        <w:jc w:val="left"/>
      </w:pPr>
      <w:r>
        <w:rPr>
          <w:b/>
        </w:rPr>
        <w:t xml:space="preserve"> </w:t>
      </w:r>
    </w:p>
    <w:p w14:paraId="68884739" w14:textId="77777777" w:rsidR="00E25756" w:rsidRDefault="00B215DD">
      <w:pPr>
        <w:numPr>
          <w:ilvl w:val="1"/>
          <w:numId w:val="1"/>
        </w:numPr>
        <w:spacing w:after="0" w:line="259" w:lineRule="auto"/>
        <w:ind w:right="0" w:hanging="276"/>
        <w:jc w:val="left"/>
      </w:pPr>
      <w:r>
        <w:rPr>
          <w:b/>
        </w:rPr>
        <w:t xml:space="preserve">marks </w:t>
      </w:r>
    </w:p>
    <w:p w14:paraId="4F214400" w14:textId="77777777" w:rsidR="00E25756" w:rsidRDefault="00B215DD">
      <w:pPr>
        <w:spacing w:after="0" w:line="259" w:lineRule="auto"/>
        <w:ind w:left="360" w:right="0" w:firstLine="0"/>
        <w:jc w:val="left"/>
      </w:pPr>
      <w:r>
        <w:rPr>
          <w:b/>
        </w:rPr>
        <w:t xml:space="preserve"> </w:t>
      </w:r>
    </w:p>
    <w:p w14:paraId="4A3A9C3A" w14:textId="77777777" w:rsidR="00E25756" w:rsidRDefault="00B215DD">
      <w:pPr>
        <w:spacing w:after="0" w:line="259" w:lineRule="auto"/>
        <w:ind w:left="0" w:right="0" w:firstLine="0"/>
        <w:jc w:val="left"/>
      </w:pPr>
      <w:r>
        <w:rPr>
          <w:b/>
        </w:rPr>
        <w:t xml:space="preserve"> </w:t>
      </w:r>
    </w:p>
    <w:p w14:paraId="458829F2" w14:textId="77777777" w:rsidR="00E25756" w:rsidRDefault="00B215DD">
      <w:pPr>
        <w:numPr>
          <w:ilvl w:val="0"/>
          <w:numId w:val="1"/>
        </w:numPr>
        <w:ind w:right="18" w:hanging="427"/>
      </w:pPr>
      <w:r>
        <w:t xml:space="preserve">Identify and explain the European Directives that are most relevant to regulated activities in financial services.   </w:t>
      </w:r>
    </w:p>
    <w:p w14:paraId="13BE10B1" w14:textId="77777777" w:rsidR="00E25756" w:rsidRDefault="00B215DD">
      <w:pPr>
        <w:spacing w:after="0" w:line="259" w:lineRule="auto"/>
        <w:ind w:left="8173" w:right="0" w:hanging="10"/>
        <w:jc w:val="left"/>
      </w:pPr>
      <w:r>
        <w:rPr>
          <w:b/>
        </w:rPr>
        <w:t xml:space="preserve">15 marks </w:t>
      </w:r>
    </w:p>
    <w:p w14:paraId="7D931FBA" w14:textId="77777777" w:rsidR="00E25756" w:rsidRDefault="00B215DD">
      <w:pPr>
        <w:spacing w:after="0" w:line="259" w:lineRule="auto"/>
        <w:ind w:left="360" w:right="0" w:firstLine="0"/>
        <w:jc w:val="left"/>
      </w:pPr>
      <w:r>
        <w:rPr>
          <w:b/>
        </w:rPr>
        <w:t xml:space="preserve"> </w:t>
      </w:r>
    </w:p>
    <w:p w14:paraId="10352313" w14:textId="77777777" w:rsidR="00E25756" w:rsidRDefault="00B215DD">
      <w:pPr>
        <w:spacing w:after="0" w:line="259" w:lineRule="auto"/>
        <w:ind w:left="0" w:right="24" w:firstLine="0"/>
        <w:jc w:val="right"/>
      </w:pPr>
      <w:r>
        <w:rPr>
          <w:b/>
        </w:rPr>
        <w:t xml:space="preserve"> </w:t>
      </w:r>
    </w:p>
    <w:p w14:paraId="618F5728" w14:textId="77777777" w:rsidR="00E25756" w:rsidRDefault="00B215DD">
      <w:pPr>
        <w:numPr>
          <w:ilvl w:val="0"/>
          <w:numId w:val="1"/>
        </w:numPr>
        <w:ind w:right="18" w:hanging="427"/>
      </w:pPr>
      <w:r>
        <w:t xml:space="preserve">Explain the process of money laundering and the relevant legislation that addresses this financial crime.   </w:t>
      </w:r>
    </w:p>
    <w:p w14:paraId="530F8FC4" w14:textId="77777777" w:rsidR="00E25756" w:rsidRDefault="00B215DD">
      <w:pPr>
        <w:spacing w:after="0" w:line="259" w:lineRule="auto"/>
        <w:ind w:left="0" w:right="81" w:firstLine="0"/>
        <w:jc w:val="right"/>
      </w:pPr>
      <w:r>
        <w:rPr>
          <w:b/>
        </w:rPr>
        <w:t xml:space="preserve">5 marks </w:t>
      </w:r>
    </w:p>
    <w:p w14:paraId="170B442C" w14:textId="77777777" w:rsidR="00E25756" w:rsidRDefault="00B215DD">
      <w:pPr>
        <w:spacing w:after="0" w:line="259" w:lineRule="auto"/>
        <w:ind w:left="0" w:right="24" w:firstLine="0"/>
        <w:jc w:val="right"/>
      </w:pPr>
      <w:r>
        <w:rPr>
          <w:b/>
        </w:rPr>
        <w:t xml:space="preserve"> </w:t>
      </w:r>
    </w:p>
    <w:p w14:paraId="26430A07" w14:textId="77777777" w:rsidR="00E25756" w:rsidRDefault="00B215DD">
      <w:pPr>
        <w:spacing w:after="0" w:line="259" w:lineRule="auto"/>
        <w:ind w:left="0" w:right="0" w:firstLine="0"/>
        <w:jc w:val="left"/>
      </w:pPr>
      <w:r>
        <w:rPr>
          <w:b/>
        </w:rPr>
        <w:t xml:space="preserve"> </w:t>
      </w:r>
    </w:p>
    <w:p w14:paraId="74E4714D" w14:textId="77777777" w:rsidR="00E25756" w:rsidRDefault="00B215DD">
      <w:pPr>
        <w:numPr>
          <w:ilvl w:val="0"/>
          <w:numId w:val="1"/>
        </w:numPr>
        <w:ind w:right="18" w:hanging="427"/>
      </w:pPr>
      <w:r>
        <w:t xml:space="preserve">Outline the duties of firms in connection with money laundering.   </w:t>
      </w:r>
    </w:p>
    <w:p w14:paraId="7ADB911A" w14:textId="77777777" w:rsidR="00E25756" w:rsidRDefault="00B215DD">
      <w:pPr>
        <w:numPr>
          <w:ilvl w:val="1"/>
          <w:numId w:val="1"/>
        </w:numPr>
        <w:spacing w:after="0" w:line="259" w:lineRule="auto"/>
        <w:ind w:right="0" w:hanging="276"/>
        <w:jc w:val="left"/>
      </w:pPr>
      <w:r>
        <w:rPr>
          <w:b/>
        </w:rPr>
        <w:t xml:space="preserve">marks </w:t>
      </w:r>
    </w:p>
    <w:p w14:paraId="545A95A5" w14:textId="77777777" w:rsidR="00E25756" w:rsidRDefault="00B215DD">
      <w:pPr>
        <w:spacing w:after="0" w:line="259" w:lineRule="auto"/>
        <w:ind w:left="0" w:right="0" w:firstLine="0"/>
        <w:jc w:val="left"/>
      </w:pPr>
      <w:r>
        <w:t xml:space="preserve"> </w:t>
      </w:r>
    </w:p>
    <w:p w14:paraId="322BB6E1" w14:textId="77777777" w:rsidR="00E25756" w:rsidRDefault="00B215DD">
      <w:pPr>
        <w:spacing w:after="0" w:line="259" w:lineRule="auto"/>
        <w:ind w:left="0" w:right="0" w:firstLine="0"/>
        <w:jc w:val="left"/>
      </w:pPr>
      <w:r>
        <w:t xml:space="preserve"> </w:t>
      </w:r>
    </w:p>
    <w:p w14:paraId="5213AAB5" w14:textId="77777777" w:rsidR="00E25756" w:rsidRDefault="00B215DD">
      <w:pPr>
        <w:numPr>
          <w:ilvl w:val="0"/>
          <w:numId w:val="1"/>
        </w:numPr>
        <w:ind w:right="18" w:hanging="427"/>
      </w:pPr>
      <w:r>
        <w:t xml:space="preserve">Describe with examples, the difference between regulated activities and controlled functions. Answers should highlight any implications for dual regulated firms. </w:t>
      </w:r>
    </w:p>
    <w:p w14:paraId="5788BAD8" w14:textId="77777777" w:rsidR="00E25756" w:rsidRDefault="00B215DD">
      <w:pPr>
        <w:spacing w:after="0" w:line="259" w:lineRule="auto"/>
        <w:ind w:left="360" w:right="0" w:firstLine="0"/>
        <w:jc w:val="left"/>
      </w:pPr>
      <w:r>
        <w:rPr>
          <w:b/>
        </w:rPr>
        <w:t xml:space="preserve"> </w:t>
      </w:r>
    </w:p>
    <w:p w14:paraId="3374C92F" w14:textId="77777777" w:rsidR="00E25756" w:rsidRDefault="00B215DD">
      <w:pPr>
        <w:spacing w:after="0" w:line="259" w:lineRule="auto"/>
        <w:ind w:left="8173" w:right="0" w:hanging="10"/>
        <w:jc w:val="left"/>
      </w:pPr>
      <w:r>
        <w:rPr>
          <w:b/>
        </w:rPr>
        <w:t xml:space="preserve">15 marks </w:t>
      </w:r>
    </w:p>
    <w:p w14:paraId="2256EC50" w14:textId="77777777" w:rsidR="00E25756" w:rsidRDefault="00B215DD">
      <w:pPr>
        <w:spacing w:after="0" w:line="259" w:lineRule="auto"/>
        <w:ind w:left="0" w:right="24" w:firstLine="0"/>
        <w:jc w:val="right"/>
      </w:pPr>
      <w:r>
        <w:rPr>
          <w:b/>
        </w:rPr>
        <w:t xml:space="preserve"> </w:t>
      </w:r>
    </w:p>
    <w:p w14:paraId="7BB4838A" w14:textId="77777777" w:rsidR="00E25756" w:rsidRDefault="00B215DD">
      <w:pPr>
        <w:spacing w:after="0" w:line="259" w:lineRule="auto"/>
        <w:ind w:left="0" w:right="0" w:firstLine="0"/>
        <w:jc w:val="left"/>
      </w:pPr>
      <w:r>
        <w:t xml:space="preserve"> </w:t>
      </w:r>
    </w:p>
    <w:p w14:paraId="5727341A" w14:textId="77777777" w:rsidR="00E25756" w:rsidRDefault="00B215DD">
      <w:pPr>
        <w:numPr>
          <w:ilvl w:val="0"/>
          <w:numId w:val="1"/>
        </w:numPr>
        <w:ind w:right="18" w:hanging="427"/>
      </w:pPr>
      <w:r>
        <w:t xml:space="preserve">Explain the role of the Financial Conduct Authority (FCA) and the Pensions Regulator (TPR) in the regulation of pension arrangements. </w:t>
      </w:r>
    </w:p>
    <w:p w14:paraId="1606A3BD" w14:textId="77777777" w:rsidR="00E25756" w:rsidRDefault="00B215DD">
      <w:pPr>
        <w:spacing w:after="0" w:line="259" w:lineRule="auto"/>
        <w:ind w:left="360" w:right="0" w:firstLine="0"/>
        <w:jc w:val="left"/>
      </w:pPr>
      <w:r>
        <w:rPr>
          <w:b/>
        </w:rPr>
        <w:t xml:space="preserve"> </w:t>
      </w:r>
    </w:p>
    <w:p w14:paraId="0E4DAFE2" w14:textId="6CAD0523" w:rsidR="00E25756" w:rsidRDefault="00B215DD" w:rsidP="003B77FC">
      <w:pPr>
        <w:spacing w:after="0" w:line="259" w:lineRule="auto"/>
        <w:ind w:left="8173" w:right="0" w:hanging="10"/>
        <w:jc w:val="left"/>
      </w:pPr>
      <w:r>
        <w:rPr>
          <w:b/>
        </w:rPr>
        <w:t xml:space="preserve">20 marks </w:t>
      </w:r>
      <w:r>
        <w:rPr>
          <w:rFonts w:ascii="Times New Roman" w:eastAsia="Times New Roman" w:hAnsi="Times New Roman" w:cs="Times New Roman"/>
          <w:sz w:val="24"/>
        </w:rPr>
        <w:t xml:space="preserve"> </w:t>
      </w:r>
    </w:p>
    <w:sectPr w:rsidR="00E25756">
      <w:footerReference w:type="default" r:id="rId8"/>
      <w:pgSz w:w="11906" w:h="16838"/>
      <w:pgMar w:top="611" w:right="1364" w:bottom="98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2780" w14:textId="77777777" w:rsidR="003B77FC" w:rsidRDefault="003B77FC" w:rsidP="003B77FC">
      <w:pPr>
        <w:spacing w:after="0" w:line="240" w:lineRule="auto"/>
      </w:pPr>
      <w:r>
        <w:separator/>
      </w:r>
    </w:p>
  </w:endnote>
  <w:endnote w:type="continuationSeparator" w:id="0">
    <w:p w14:paraId="17241172" w14:textId="77777777" w:rsidR="003B77FC" w:rsidRDefault="003B77FC" w:rsidP="003B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6" w:type="dxa"/>
      <w:tblInd w:w="0" w:type="dxa"/>
      <w:tblLook w:val="04A0" w:firstRow="1" w:lastRow="0" w:firstColumn="1" w:lastColumn="0" w:noHBand="0" w:noVBand="1"/>
    </w:tblPr>
    <w:tblGrid>
      <w:gridCol w:w="4321"/>
      <w:gridCol w:w="931"/>
      <w:gridCol w:w="3794"/>
    </w:tblGrid>
    <w:tr w:rsidR="003B77FC" w14:paraId="23797F7F" w14:textId="77777777" w:rsidTr="005B5115">
      <w:trPr>
        <w:trHeight w:val="365"/>
      </w:trPr>
      <w:tc>
        <w:tcPr>
          <w:tcW w:w="4321" w:type="dxa"/>
          <w:tcBorders>
            <w:top w:val="nil"/>
            <w:left w:val="nil"/>
            <w:bottom w:val="nil"/>
            <w:right w:val="nil"/>
          </w:tcBorders>
        </w:tcPr>
        <w:p w14:paraId="5CCA5384" w14:textId="77777777" w:rsidR="003B77FC" w:rsidRDefault="003B77FC" w:rsidP="003B77FC">
          <w:pPr>
            <w:spacing w:after="0" w:line="259" w:lineRule="auto"/>
            <w:ind w:left="0" w:right="1087" w:firstLine="0"/>
            <w:jc w:val="left"/>
          </w:pPr>
          <w:r>
            <w:rPr>
              <w:sz w:val="16"/>
            </w:rPr>
            <w:t xml:space="preserve">Retail Advice and Regulation Assignment 1 © The Pensions Management Institute 2023 </w:t>
          </w:r>
        </w:p>
      </w:tc>
      <w:tc>
        <w:tcPr>
          <w:tcW w:w="931" w:type="dxa"/>
          <w:tcBorders>
            <w:top w:val="nil"/>
            <w:left w:val="nil"/>
            <w:bottom w:val="nil"/>
            <w:right w:val="nil"/>
          </w:tcBorders>
        </w:tcPr>
        <w:p w14:paraId="58F2C485" w14:textId="77777777" w:rsidR="003B77FC" w:rsidRDefault="003B77FC" w:rsidP="003B77FC">
          <w:pPr>
            <w:spacing w:after="0" w:line="259" w:lineRule="auto"/>
            <w:ind w:left="0" w:right="0" w:firstLine="0"/>
            <w:jc w:val="left"/>
          </w:pPr>
          <w:r>
            <w:rPr>
              <w:sz w:val="16"/>
            </w:rPr>
            <w:t xml:space="preserve"> </w:t>
          </w:r>
        </w:p>
      </w:tc>
      <w:tc>
        <w:tcPr>
          <w:tcW w:w="3794" w:type="dxa"/>
          <w:tcBorders>
            <w:top w:val="nil"/>
            <w:left w:val="nil"/>
            <w:bottom w:val="nil"/>
            <w:right w:val="nil"/>
          </w:tcBorders>
        </w:tcPr>
        <w:p w14:paraId="746A0CC9" w14:textId="77777777" w:rsidR="003B77FC" w:rsidRDefault="003B77FC" w:rsidP="003B77FC">
          <w:pPr>
            <w:spacing w:after="0" w:line="259" w:lineRule="auto"/>
            <w:ind w:left="0" w:right="42" w:firstLine="0"/>
            <w:jc w:val="right"/>
          </w:pPr>
          <w:proofErr w:type="gramStart"/>
          <w:r>
            <w:rPr>
              <w:sz w:val="16"/>
            </w:rPr>
            <w:t>2023  Edition</w:t>
          </w:r>
          <w:proofErr w:type="gramEnd"/>
          <w:r>
            <w:rPr>
              <w:sz w:val="16"/>
            </w:rPr>
            <w:t xml:space="preserve"> </w:t>
          </w:r>
        </w:p>
      </w:tc>
    </w:tr>
  </w:tbl>
  <w:p w14:paraId="21BA796C" w14:textId="77777777" w:rsidR="003B77FC" w:rsidRDefault="003B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A87B" w14:textId="77777777" w:rsidR="003B77FC" w:rsidRDefault="003B77FC" w:rsidP="003B77FC">
      <w:pPr>
        <w:spacing w:after="0" w:line="240" w:lineRule="auto"/>
      </w:pPr>
      <w:r>
        <w:separator/>
      </w:r>
    </w:p>
  </w:footnote>
  <w:footnote w:type="continuationSeparator" w:id="0">
    <w:p w14:paraId="6C52C21F" w14:textId="77777777" w:rsidR="003B77FC" w:rsidRDefault="003B77FC" w:rsidP="003B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6095"/>
    <w:multiLevelType w:val="hybridMultilevel"/>
    <w:tmpl w:val="089A59CE"/>
    <w:lvl w:ilvl="0" w:tplc="893EB45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298CA">
      <w:start w:val="10"/>
      <w:numFmt w:val="decimal"/>
      <w:lvlText w:val="%2"/>
      <w:lvlJc w:val="left"/>
      <w:pPr>
        <w:ind w:left="8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CE4F4E">
      <w:start w:val="1"/>
      <w:numFmt w:val="lowerRoman"/>
      <w:lvlText w:val="%3"/>
      <w:lvlJc w:val="left"/>
      <w:pPr>
        <w:ind w:left="9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C204CC">
      <w:start w:val="1"/>
      <w:numFmt w:val="decimal"/>
      <w:lvlText w:val="%4"/>
      <w:lvlJc w:val="left"/>
      <w:pPr>
        <w:ind w:left="9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9AD6C0">
      <w:start w:val="1"/>
      <w:numFmt w:val="lowerLetter"/>
      <w:lvlText w:val="%5"/>
      <w:lvlJc w:val="left"/>
      <w:pPr>
        <w:ind w:left="10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423BF4">
      <w:start w:val="1"/>
      <w:numFmt w:val="lowerRoman"/>
      <w:lvlText w:val="%6"/>
      <w:lvlJc w:val="left"/>
      <w:pPr>
        <w:ind w:left="11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7E48AE">
      <w:start w:val="1"/>
      <w:numFmt w:val="decimal"/>
      <w:lvlText w:val="%7"/>
      <w:lvlJc w:val="left"/>
      <w:pPr>
        <w:ind w:left="12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7CEFF0">
      <w:start w:val="1"/>
      <w:numFmt w:val="lowerLetter"/>
      <w:lvlText w:val="%8"/>
      <w:lvlJc w:val="left"/>
      <w:pPr>
        <w:ind w:left="12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2ACAC2">
      <w:start w:val="1"/>
      <w:numFmt w:val="lowerRoman"/>
      <w:lvlText w:val="%9"/>
      <w:lvlJc w:val="left"/>
      <w:pPr>
        <w:ind w:left="13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77733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56"/>
    <w:rsid w:val="002747BA"/>
    <w:rsid w:val="003B77FC"/>
    <w:rsid w:val="00726CA8"/>
    <w:rsid w:val="00B215DD"/>
    <w:rsid w:val="00E2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EE1E"/>
  <w15:docId w15:val="{28135956-D77D-4DCB-B51E-A857DC7A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7" w:right="236" w:hanging="437"/>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7FC"/>
    <w:rPr>
      <w:rFonts w:ascii="Arial" w:eastAsia="Arial" w:hAnsi="Arial" w:cs="Arial"/>
      <w:color w:val="000000"/>
      <w:sz w:val="20"/>
    </w:rPr>
  </w:style>
  <w:style w:type="paragraph" w:styleId="Footer">
    <w:name w:val="footer"/>
    <w:basedOn w:val="Normal"/>
    <w:link w:val="FooterChar"/>
    <w:uiPriority w:val="99"/>
    <w:unhideWhenUsed/>
    <w:rsid w:val="003B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F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4</cp:revision>
  <dcterms:created xsi:type="dcterms:W3CDTF">2022-11-03T11:52:00Z</dcterms:created>
  <dcterms:modified xsi:type="dcterms:W3CDTF">2022-11-04T10:34:00Z</dcterms:modified>
</cp:coreProperties>
</file>