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EA28" w14:textId="5441B837" w:rsidR="00AB054C" w:rsidRDefault="00C212C5" w:rsidP="00C212C5">
      <w:pPr>
        <w:spacing w:after="53" w:line="259" w:lineRule="auto"/>
        <w:ind w:left="2880" w:right="-796" w:firstLine="0"/>
      </w:pPr>
      <w:r w:rsidRPr="002662E3">
        <w:rPr>
          <w:noProof/>
        </w:rPr>
        <w:drawing>
          <wp:inline distT="0" distB="0" distL="0" distR="0" wp14:anchorId="7844FC8E" wp14:editId="0999C6FB">
            <wp:extent cx="2208628" cy="1428742"/>
            <wp:effectExtent l="0" t="0" r="1270" b="635"/>
            <wp:docPr id="4" name="Picture 4"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576" cy="1433883"/>
                    </a:xfrm>
                    <a:prstGeom prst="rect">
                      <a:avLst/>
                    </a:prstGeom>
                  </pic:spPr>
                </pic:pic>
              </a:graphicData>
            </a:graphic>
          </wp:inline>
        </w:drawing>
      </w:r>
    </w:p>
    <w:p w14:paraId="4793D7E6" w14:textId="77777777" w:rsidR="00AB054C" w:rsidRDefault="00516D1E">
      <w:pPr>
        <w:spacing w:after="17" w:line="259" w:lineRule="auto"/>
        <w:ind w:left="0" w:firstLine="0"/>
        <w:jc w:val="right"/>
      </w:pPr>
      <w:r>
        <w:t xml:space="preserve"> </w:t>
      </w:r>
    </w:p>
    <w:p w14:paraId="0DCE6474" w14:textId="77777777" w:rsidR="00AB054C" w:rsidRDefault="00516D1E">
      <w:pPr>
        <w:spacing w:after="213" w:line="259" w:lineRule="auto"/>
        <w:ind w:left="0" w:firstLine="0"/>
        <w:jc w:val="right"/>
      </w:pPr>
      <w:r>
        <w:t xml:space="preserve"> </w:t>
      </w:r>
    </w:p>
    <w:p w14:paraId="41F07E12" w14:textId="6564688C" w:rsidR="00AB054C" w:rsidRDefault="00516D1E">
      <w:pPr>
        <w:spacing w:after="0" w:line="259" w:lineRule="auto"/>
        <w:ind w:left="0" w:right="54" w:firstLine="0"/>
        <w:jc w:val="center"/>
      </w:pPr>
      <w:r>
        <w:rPr>
          <w:sz w:val="40"/>
        </w:rPr>
        <w:t xml:space="preserve">Taxation, Retail Investment and Pensions </w:t>
      </w:r>
    </w:p>
    <w:p w14:paraId="422160C4" w14:textId="77777777" w:rsidR="00AB054C" w:rsidRDefault="00516D1E">
      <w:pPr>
        <w:spacing w:after="129" w:line="259" w:lineRule="auto"/>
        <w:ind w:left="0" w:firstLine="0"/>
        <w:jc w:val="center"/>
      </w:pPr>
      <w:r>
        <w:rPr>
          <w:sz w:val="20"/>
        </w:rPr>
        <w:t xml:space="preserve"> </w:t>
      </w:r>
    </w:p>
    <w:p w14:paraId="158A0C15" w14:textId="77777777" w:rsidR="00AB054C" w:rsidRDefault="00516D1E">
      <w:pPr>
        <w:spacing w:after="0" w:line="259" w:lineRule="auto"/>
        <w:ind w:left="0" w:right="55" w:firstLine="0"/>
        <w:jc w:val="center"/>
      </w:pPr>
      <w:r>
        <w:rPr>
          <w:sz w:val="32"/>
        </w:rPr>
        <w:t xml:space="preserve">Assignment 1 Notes </w:t>
      </w:r>
    </w:p>
    <w:p w14:paraId="6BFE430A" w14:textId="77777777" w:rsidR="00AB054C" w:rsidRDefault="00516D1E">
      <w:pPr>
        <w:spacing w:after="0" w:line="259" w:lineRule="auto"/>
        <w:ind w:left="0" w:right="55" w:firstLine="0"/>
        <w:jc w:val="center"/>
      </w:pPr>
      <w:r>
        <w:rPr>
          <w:i/>
        </w:rPr>
        <w:t xml:space="preserve">(Part 1 – The UK Pension System Chapters 1-6) </w:t>
      </w:r>
    </w:p>
    <w:p w14:paraId="145EC66E" w14:textId="77777777" w:rsidR="00AB054C" w:rsidRDefault="00516D1E">
      <w:pPr>
        <w:spacing w:after="5" w:line="259" w:lineRule="auto"/>
        <w:ind w:left="0" w:firstLine="0"/>
        <w:jc w:val="right"/>
      </w:pPr>
      <w:r>
        <w:t xml:space="preserve"> </w:t>
      </w:r>
    </w:p>
    <w:p w14:paraId="12EF1DBD" w14:textId="77777777" w:rsidR="00AB054C" w:rsidRDefault="00516D1E">
      <w:pPr>
        <w:spacing w:after="27" w:line="259" w:lineRule="auto"/>
        <w:ind w:left="0" w:right="83" w:firstLine="0"/>
        <w:jc w:val="center"/>
      </w:pPr>
      <w:r>
        <w:rPr>
          <w:i/>
          <w:sz w:val="18"/>
        </w:rPr>
        <w:t xml:space="preserve">Recommended Time: 3 Hours </w:t>
      </w:r>
    </w:p>
    <w:p w14:paraId="7A54A2D7" w14:textId="77777777" w:rsidR="00AB054C" w:rsidRDefault="00516D1E">
      <w:pPr>
        <w:spacing w:after="14" w:line="259" w:lineRule="auto"/>
        <w:ind w:left="0" w:right="3" w:firstLine="0"/>
        <w:jc w:val="center"/>
      </w:pPr>
      <w:r>
        <w:t xml:space="preserve"> </w:t>
      </w:r>
    </w:p>
    <w:p w14:paraId="1BF80160" w14:textId="77777777" w:rsidR="00AB054C" w:rsidRDefault="00516D1E">
      <w:pPr>
        <w:spacing w:after="17" w:line="259" w:lineRule="auto"/>
        <w:ind w:left="0" w:right="3" w:firstLine="0"/>
        <w:jc w:val="center"/>
      </w:pPr>
      <w:r>
        <w:t xml:space="preserve"> </w:t>
      </w:r>
    </w:p>
    <w:p w14:paraId="14598FAD" w14:textId="77777777" w:rsidR="00AB054C" w:rsidRDefault="00516D1E">
      <w:pPr>
        <w:spacing w:after="17" w:line="259" w:lineRule="auto"/>
        <w:ind w:left="0" w:right="848" w:firstLine="0"/>
        <w:jc w:val="right"/>
      </w:pPr>
      <w:r>
        <w:t xml:space="preserve"> </w:t>
      </w:r>
    </w:p>
    <w:p w14:paraId="4AE9A47B" w14:textId="77777777" w:rsidR="00AB054C" w:rsidRDefault="00516D1E">
      <w:pPr>
        <w:numPr>
          <w:ilvl w:val="0"/>
          <w:numId w:val="1"/>
        </w:numPr>
        <w:spacing w:after="10" w:line="269" w:lineRule="auto"/>
        <w:ind w:hanging="360"/>
      </w:pPr>
      <w:r>
        <w:rPr>
          <w:b/>
        </w:rPr>
        <w:t>Explain the EET Principle</w:t>
      </w:r>
      <w:r>
        <w:t xml:space="preserve">. </w:t>
      </w:r>
    </w:p>
    <w:p w14:paraId="0057EB36" w14:textId="77777777" w:rsidR="00AB054C" w:rsidRDefault="00516D1E">
      <w:pPr>
        <w:spacing w:after="15" w:line="259" w:lineRule="auto"/>
        <w:ind w:left="10" w:right="67"/>
        <w:jc w:val="right"/>
      </w:pPr>
      <w:r>
        <w:rPr>
          <w:b/>
        </w:rPr>
        <w:t xml:space="preserve">5 marks </w:t>
      </w:r>
    </w:p>
    <w:p w14:paraId="47E73901" w14:textId="77777777" w:rsidR="00AB054C" w:rsidRDefault="00516D1E">
      <w:pPr>
        <w:spacing w:after="17" w:line="259" w:lineRule="auto"/>
        <w:ind w:left="0" w:right="848" w:firstLine="0"/>
        <w:jc w:val="right"/>
      </w:pPr>
      <w:r>
        <w:t xml:space="preserve"> </w:t>
      </w:r>
    </w:p>
    <w:p w14:paraId="0C82B2A9" w14:textId="77777777" w:rsidR="00AB054C" w:rsidRDefault="00516D1E">
      <w:pPr>
        <w:ind w:right="54"/>
      </w:pPr>
      <w:r>
        <w:t xml:space="preserve">Answer should cover the following: </w:t>
      </w:r>
    </w:p>
    <w:p w14:paraId="0D0CB059" w14:textId="77777777" w:rsidR="00AB054C" w:rsidRDefault="00516D1E">
      <w:pPr>
        <w:numPr>
          <w:ilvl w:val="1"/>
          <w:numId w:val="1"/>
        </w:numPr>
        <w:ind w:right="54" w:hanging="425"/>
      </w:pPr>
      <w:r>
        <w:t xml:space="preserve">Contributions </w:t>
      </w:r>
      <w:r>
        <w:rPr>
          <w:b/>
        </w:rPr>
        <w:t>E</w:t>
      </w:r>
      <w:r>
        <w:t xml:space="preserve">xempt from tax </w:t>
      </w:r>
    </w:p>
    <w:p w14:paraId="3AD60D97" w14:textId="77777777" w:rsidR="00AB054C" w:rsidRDefault="00516D1E">
      <w:pPr>
        <w:numPr>
          <w:ilvl w:val="1"/>
          <w:numId w:val="1"/>
        </w:numPr>
        <w:ind w:right="54" w:hanging="425"/>
      </w:pPr>
      <w:r>
        <w:t xml:space="preserve">Investments built up largely </w:t>
      </w:r>
      <w:r>
        <w:rPr>
          <w:b/>
        </w:rPr>
        <w:t>E</w:t>
      </w:r>
      <w:r>
        <w:t xml:space="preserve">xempt from tax </w:t>
      </w:r>
    </w:p>
    <w:p w14:paraId="4E52520F" w14:textId="77777777" w:rsidR="009A2D91" w:rsidRDefault="00516D1E">
      <w:pPr>
        <w:numPr>
          <w:ilvl w:val="1"/>
          <w:numId w:val="1"/>
        </w:numPr>
        <w:ind w:right="54" w:hanging="425"/>
      </w:pPr>
      <w:r>
        <w:t xml:space="preserve">Pensions payable subject to </w:t>
      </w:r>
      <w:r>
        <w:rPr>
          <w:b/>
        </w:rPr>
        <w:t>T</w:t>
      </w:r>
      <w:r>
        <w:t xml:space="preserve">ax </w:t>
      </w:r>
    </w:p>
    <w:p w14:paraId="40D429BB" w14:textId="32A06513" w:rsidR="00AB054C" w:rsidRDefault="009A2D91">
      <w:pPr>
        <w:numPr>
          <w:ilvl w:val="1"/>
          <w:numId w:val="1"/>
        </w:numPr>
        <w:ind w:right="54" w:hanging="425"/>
      </w:pPr>
      <w:r w:rsidRPr="009A2D91">
        <w:t>To be eligible for this tax treatment, the scheme had to be established under trust; and its sole purpose had to be the provision of annuities for former employees during their retirement.</w:t>
      </w:r>
    </w:p>
    <w:p w14:paraId="2651B68A" w14:textId="77777777" w:rsidR="00AB054C" w:rsidRDefault="00516D1E">
      <w:pPr>
        <w:spacing w:after="21" w:line="259" w:lineRule="auto"/>
        <w:ind w:left="0" w:firstLine="0"/>
        <w:jc w:val="right"/>
      </w:pPr>
      <w:r>
        <w:t xml:space="preserve"> </w:t>
      </w:r>
    </w:p>
    <w:p w14:paraId="27D48A2D" w14:textId="77777777" w:rsidR="00AB054C" w:rsidRDefault="00516D1E">
      <w:pPr>
        <w:ind w:right="54"/>
      </w:pPr>
      <w:r>
        <w:t xml:space="preserve">Relevant section of the manual is Part 1 Chapter 1.1.1. </w:t>
      </w:r>
    </w:p>
    <w:p w14:paraId="1FC5A31C" w14:textId="77777777" w:rsidR="00AB054C" w:rsidRDefault="00516D1E">
      <w:pPr>
        <w:spacing w:after="17" w:line="259" w:lineRule="auto"/>
        <w:ind w:left="0" w:right="848" w:firstLine="0"/>
        <w:jc w:val="right"/>
      </w:pPr>
      <w:r>
        <w:t xml:space="preserve"> </w:t>
      </w:r>
    </w:p>
    <w:p w14:paraId="7C0F3CF0" w14:textId="77777777" w:rsidR="00AB054C" w:rsidRDefault="00516D1E">
      <w:pPr>
        <w:numPr>
          <w:ilvl w:val="2"/>
          <w:numId w:val="1"/>
        </w:numPr>
        <w:spacing w:after="15" w:line="259" w:lineRule="auto"/>
        <w:ind w:right="67" w:hanging="158"/>
        <w:jc w:val="right"/>
      </w:pPr>
      <w:r>
        <w:rPr>
          <w:b/>
        </w:rPr>
        <w:t xml:space="preserve">marks </w:t>
      </w:r>
    </w:p>
    <w:p w14:paraId="6FA1C63C" w14:textId="77777777" w:rsidR="00AB054C" w:rsidRDefault="00516D1E">
      <w:pPr>
        <w:spacing w:after="0" w:line="259" w:lineRule="auto"/>
        <w:ind w:left="0" w:firstLine="0"/>
      </w:pPr>
      <w:r>
        <w:t xml:space="preserve"> </w:t>
      </w:r>
    </w:p>
    <w:p w14:paraId="2C3EE029" w14:textId="77777777" w:rsidR="00AB054C" w:rsidRDefault="00516D1E">
      <w:pPr>
        <w:spacing w:after="0" w:line="259" w:lineRule="auto"/>
        <w:ind w:left="0" w:firstLine="0"/>
      </w:pPr>
      <w:r>
        <w:t xml:space="preserve"> </w:t>
      </w:r>
    </w:p>
    <w:p w14:paraId="032A622F" w14:textId="77777777" w:rsidR="00AB054C" w:rsidRDefault="00516D1E">
      <w:pPr>
        <w:spacing w:after="0" w:line="259" w:lineRule="auto"/>
        <w:ind w:left="0" w:firstLine="0"/>
      </w:pPr>
      <w:r>
        <w:t xml:space="preserve"> </w:t>
      </w:r>
    </w:p>
    <w:p w14:paraId="0C055E06" w14:textId="77777777" w:rsidR="00AB054C" w:rsidRDefault="00516D1E">
      <w:pPr>
        <w:numPr>
          <w:ilvl w:val="0"/>
          <w:numId w:val="1"/>
        </w:numPr>
        <w:spacing w:after="10" w:line="269" w:lineRule="auto"/>
        <w:ind w:hanging="360"/>
      </w:pPr>
      <w:r>
        <w:rPr>
          <w:b/>
        </w:rPr>
        <w:t>Identify the changes to State Pension Ages outlined in recent Pensions Acts</w:t>
      </w:r>
      <w:r>
        <w:t xml:space="preserve">. </w:t>
      </w:r>
    </w:p>
    <w:p w14:paraId="44F4C175" w14:textId="77777777" w:rsidR="00AB054C" w:rsidRDefault="00516D1E">
      <w:pPr>
        <w:spacing w:after="0" w:line="277" w:lineRule="auto"/>
        <w:ind w:left="422" w:right="67"/>
        <w:jc w:val="right"/>
      </w:pPr>
      <w:r>
        <w:rPr>
          <w:b/>
        </w:rPr>
        <w:t xml:space="preserve">5 marks </w:t>
      </w:r>
      <w:r>
        <w:t xml:space="preserve">Answer should cover the following: </w:t>
      </w:r>
    </w:p>
    <w:p w14:paraId="7CAE7597" w14:textId="77777777" w:rsidR="00AB054C" w:rsidRDefault="00516D1E">
      <w:pPr>
        <w:numPr>
          <w:ilvl w:val="1"/>
          <w:numId w:val="1"/>
        </w:numPr>
        <w:ind w:right="54" w:hanging="425"/>
      </w:pPr>
      <w:r>
        <w:t xml:space="preserve">Pensions Act 2007, State Pension Age to gradually rise to 68 by 2046 </w:t>
      </w:r>
    </w:p>
    <w:p w14:paraId="4BE21971" w14:textId="77777777" w:rsidR="00AB054C" w:rsidRDefault="00516D1E">
      <w:pPr>
        <w:numPr>
          <w:ilvl w:val="1"/>
          <w:numId w:val="1"/>
        </w:numPr>
        <w:ind w:right="54" w:hanging="425"/>
      </w:pPr>
      <w:r>
        <w:t xml:space="preserve">Timetable modified by Pensions Acts of 2011 and 2014.  </w:t>
      </w:r>
    </w:p>
    <w:p w14:paraId="3BF6D9FE" w14:textId="77777777" w:rsidR="00AB054C" w:rsidRDefault="00516D1E">
      <w:pPr>
        <w:ind w:right="54"/>
      </w:pPr>
      <w:r>
        <w:t xml:space="preserve">Currently as follows for men and women </w:t>
      </w:r>
    </w:p>
    <w:p w14:paraId="263B8104" w14:textId="77777777" w:rsidR="007B2BAF" w:rsidRDefault="00516D1E">
      <w:pPr>
        <w:numPr>
          <w:ilvl w:val="1"/>
          <w:numId w:val="1"/>
        </w:numPr>
        <w:ind w:right="54" w:hanging="425"/>
      </w:pPr>
      <w:r>
        <w:t>From 65 to 66 between 2018 and 2020 (Pensions Act 2011)</w:t>
      </w:r>
    </w:p>
    <w:p w14:paraId="0815CC3B" w14:textId="18A6D3DC" w:rsidR="00AB054C" w:rsidRDefault="00516D1E" w:rsidP="007B2BAF">
      <w:pPr>
        <w:numPr>
          <w:ilvl w:val="1"/>
          <w:numId w:val="1"/>
        </w:numPr>
        <w:ind w:right="54" w:hanging="425"/>
      </w:pPr>
      <w:r>
        <w:t xml:space="preserve"> </w:t>
      </w:r>
      <w:r w:rsidR="007B2BAF">
        <w:t>From 66 to 67 between 2026 and 2028 (Pensions Act 2014)</w:t>
      </w:r>
    </w:p>
    <w:p w14:paraId="47489693" w14:textId="77777777" w:rsidR="00AB054C" w:rsidRDefault="00516D1E">
      <w:pPr>
        <w:numPr>
          <w:ilvl w:val="1"/>
          <w:numId w:val="1"/>
        </w:numPr>
        <w:ind w:right="54" w:hanging="425"/>
      </w:pPr>
      <w:r>
        <w:t xml:space="preserve">From 67 to 68 between 2044 and 2046 (Pensions Act 2007) </w:t>
      </w:r>
    </w:p>
    <w:p w14:paraId="46C56682" w14:textId="77777777" w:rsidR="00AB054C" w:rsidRDefault="00516D1E">
      <w:pPr>
        <w:spacing w:after="17" w:line="259" w:lineRule="auto"/>
        <w:ind w:left="1133" w:firstLine="0"/>
      </w:pPr>
      <w:r>
        <w:t xml:space="preserve"> </w:t>
      </w:r>
    </w:p>
    <w:p w14:paraId="1DFA72A7" w14:textId="77777777" w:rsidR="00AB054C" w:rsidRDefault="00516D1E">
      <w:pPr>
        <w:ind w:right="54"/>
      </w:pPr>
      <w:r>
        <w:t xml:space="preserve">Periodic reviews at least once every five years (Pensions Act 2014). </w:t>
      </w:r>
    </w:p>
    <w:p w14:paraId="2C0D39F3" w14:textId="77777777" w:rsidR="00AB054C" w:rsidRDefault="00516D1E">
      <w:pPr>
        <w:spacing w:after="21" w:line="259" w:lineRule="auto"/>
        <w:ind w:left="0" w:firstLine="0"/>
      </w:pPr>
      <w:r>
        <w:t xml:space="preserve">  </w:t>
      </w:r>
    </w:p>
    <w:p w14:paraId="1274EB7C" w14:textId="77777777" w:rsidR="00AB054C" w:rsidRDefault="00516D1E">
      <w:pPr>
        <w:ind w:right="54"/>
      </w:pPr>
      <w:r>
        <w:t xml:space="preserve">Relevant section of the manual is Part 1 Chapter 2.2.3. </w:t>
      </w:r>
    </w:p>
    <w:p w14:paraId="2A7A9D1C" w14:textId="77777777" w:rsidR="00AB054C" w:rsidRDefault="00516D1E">
      <w:pPr>
        <w:spacing w:after="17" w:line="259" w:lineRule="auto"/>
        <w:ind w:left="0" w:right="848" w:firstLine="0"/>
        <w:jc w:val="right"/>
      </w:pPr>
      <w:r>
        <w:t xml:space="preserve"> </w:t>
      </w:r>
    </w:p>
    <w:p w14:paraId="3CEA0354" w14:textId="77777777" w:rsidR="00AB054C" w:rsidRDefault="00516D1E">
      <w:pPr>
        <w:numPr>
          <w:ilvl w:val="2"/>
          <w:numId w:val="1"/>
        </w:numPr>
        <w:spacing w:after="15" w:line="259" w:lineRule="auto"/>
        <w:ind w:right="67" w:hanging="158"/>
        <w:jc w:val="right"/>
      </w:pPr>
      <w:r>
        <w:rPr>
          <w:b/>
        </w:rPr>
        <w:t xml:space="preserve">marks </w:t>
      </w:r>
    </w:p>
    <w:p w14:paraId="55F0D25D" w14:textId="77777777" w:rsidR="00E52ACE" w:rsidRDefault="00E52ACE">
      <w:pPr>
        <w:spacing w:after="14" w:line="259" w:lineRule="auto"/>
        <w:ind w:left="0" w:firstLine="0"/>
        <w:jc w:val="right"/>
        <w:rPr>
          <w:b/>
        </w:rPr>
      </w:pPr>
    </w:p>
    <w:p w14:paraId="620B24D4" w14:textId="77777777" w:rsidR="00E52ACE" w:rsidRDefault="00E52ACE">
      <w:pPr>
        <w:spacing w:after="14" w:line="259" w:lineRule="auto"/>
        <w:ind w:left="0" w:firstLine="0"/>
        <w:jc w:val="right"/>
        <w:rPr>
          <w:b/>
        </w:rPr>
      </w:pPr>
    </w:p>
    <w:p w14:paraId="2C6373A0" w14:textId="77777777" w:rsidR="00E52ACE" w:rsidRDefault="00E52ACE">
      <w:pPr>
        <w:spacing w:after="14" w:line="259" w:lineRule="auto"/>
        <w:ind w:left="0" w:firstLine="0"/>
        <w:jc w:val="right"/>
        <w:rPr>
          <w:b/>
        </w:rPr>
      </w:pPr>
    </w:p>
    <w:p w14:paraId="0042DA08" w14:textId="77777777" w:rsidR="00E52ACE" w:rsidRDefault="00E52ACE">
      <w:pPr>
        <w:spacing w:after="14" w:line="259" w:lineRule="auto"/>
        <w:ind w:left="0" w:firstLine="0"/>
        <w:jc w:val="right"/>
        <w:rPr>
          <w:b/>
        </w:rPr>
      </w:pPr>
    </w:p>
    <w:p w14:paraId="31A1DCF8" w14:textId="77777777" w:rsidR="00E52ACE" w:rsidRDefault="00E52ACE">
      <w:pPr>
        <w:spacing w:after="14" w:line="259" w:lineRule="auto"/>
        <w:ind w:left="0" w:firstLine="0"/>
        <w:jc w:val="right"/>
        <w:rPr>
          <w:b/>
        </w:rPr>
      </w:pPr>
    </w:p>
    <w:p w14:paraId="788E8448" w14:textId="1FB303B4" w:rsidR="00AB054C" w:rsidRDefault="00516D1E">
      <w:pPr>
        <w:spacing w:after="14" w:line="259" w:lineRule="auto"/>
        <w:ind w:left="0" w:firstLine="0"/>
        <w:jc w:val="right"/>
      </w:pPr>
      <w:r>
        <w:rPr>
          <w:b/>
        </w:rPr>
        <w:t xml:space="preserve"> </w:t>
      </w:r>
    </w:p>
    <w:p w14:paraId="0E75A509" w14:textId="77777777" w:rsidR="00AB054C" w:rsidRDefault="00516D1E">
      <w:pPr>
        <w:spacing w:after="0" w:line="240" w:lineRule="auto"/>
        <w:ind w:left="0" w:right="5888" w:firstLine="0"/>
      </w:pPr>
      <w:r>
        <w:t xml:space="preserve"> </w:t>
      </w:r>
      <w:r>
        <w:rPr>
          <w:b/>
        </w:rPr>
        <w:t xml:space="preserve"> </w:t>
      </w:r>
      <w:r>
        <w:rPr>
          <w:b/>
        </w:rPr>
        <w:tab/>
        <w:t xml:space="preserve"> </w:t>
      </w:r>
    </w:p>
    <w:p w14:paraId="52490CE1" w14:textId="77777777" w:rsidR="00AB054C" w:rsidRDefault="00516D1E">
      <w:pPr>
        <w:numPr>
          <w:ilvl w:val="0"/>
          <w:numId w:val="1"/>
        </w:numPr>
        <w:spacing w:after="10" w:line="269" w:lineRule="auto"/>
        <w:ind w:hanging="360"/>
      </w:pPr>
      <w:r>
        <w:rPr>
          <w:b/>
        </w:rPr>
        <w:t xml:space="preserve">Outline the different methods that can be used to communicate with members </w:t>
      </w:r>
    </w:p>
    <w:p w14:paraId="577FFFEF" w14:textId="287B803D" w:rsidR="00AB054C" w:rsidRDefault="00516D1E">
      <w:pPr>
        <w:spacing w:after="0" w:line="259" w:lineRule="auto"/>
        <w:ind w:left="0" w:firstLine="0"/>
      </w:pPr>
      <w:r>
        <w:rPr>
          <w:b/>
        </w:rPr>
        <w:t xml:space="preserve"> </w:t>
      </w:r>
      <w:r w:rsidR="009A2D91">
        <w:rPr>
          <w:b/>
        </w:rPr>
        <w:t xml:space="preserve">      </w:t>
      </w:r>
    </w:p>
    <w:p w14:paraId="200084DC" w14:textId="214F9D22" w:rsidR="009A2D91" w:rsidRPr="009A2D91" w:rsidRDefault="00516D1E" w:rsidP="009A2D91">
      <w:pPr>
        <w:pStyle w:val="ListParagraph"/>
        <w:spacing w:after="0" w:line="277" w:lineRule="auto"/>
        <w:ind w:left="1715" w:right="67" w:firstLine="0"/>
        <w:rPr>
          <w:b/>
        </w:rPr>
      </w:pPr>
      <w:r w:rsidRPr="009A2D91">
        <w:rPr>
          <w:b/>
        </w:rPr>
        <w:t xml:space="preserve"> </w:t>
      </w:r>
    </w:p>
    <w:p w14:paraId="648A58C0" w14:textId="4722E037" w:rsidR="00AB054C" w:rsidRDefault="00516D1E" w:rsidP="009A2D91">
      <w:pPr>
        <w:spacing w:after="0" w:line="277" w:lineRule="auto"/>
        <w:ind w:left="1705" w:right="67" w:firstLine="0"/>
      </w:pPr>
      <w:r>
        <w:t xml:space="preserve">Answer should cover: </w:t>
      </w:r>
    </w:p>
    <w:p w14:paraId="2A7BB14B" w14:textId="77777777" w:rsidR="00AB054C" w:rsidRDefault="00516D1E">
      <w:pPr>
        <w:spacing w:after="0" w:line="259" w:lineRule="auto"/>
        <w:ind w:left="0" w:firstLine="0"/>
      </w:pPr>
      <w:r>
        <w:rPr>
          <w:b/>
        </w:rPr>
        <w:t xml:space="preserve"> </w:t>
      </w:r>
    </w:p>
    <w:p w14:paraId="664D412B" w14:textId="6799E1E3" w:rsidR="00AB054C" w:rsidRDefault="00516D1E">
      <w:pPr>
        <w:numPr>
          <w:ilvl w:val="1"/>
          <w:numId w:val="1"/>
        </w:numPr>
        <w:ind w:right="54" w:hanging="425"/>
      </w:pPr>
      <w:r>
        <w:t xml:space="preserve">Sending it by post </w:t>
      </w:r>
      <w:r w:rsidR="00160AC7">
        <w:t xml:space="preserve">for example letters, leaflets, statements, forms, factsheets, </w:t>
      </w:r>
      <w:r w:rsidR="00F46C1F">
        <w:t>newsletters</w:t>
      </w:r>
    </w:p>
    <w:p w14:paraId="3CC9EDEE" w14:textId="77777777" w:rsidR="00AB054C" w:rsidRDefault="00516D1E">
      <w:pPr>
        <w:numPr>
          <w:ilvl w:val="1"/>
          <w:numId w:val="1"/>
        </w:numPr>
        <w:ind w:right="54" w:hanging="425"/>
      </w:pPr>
      <w:r>
        <w:t xml:space="preserve">Electronically by email </w:t>
      </w:r>
    </w:p>
    <w:p w14:paraId="29B99F1A" w14:textId="77777777" w:rsidR="00AB054C" w:rsidRDefault="00516D1E">
      <w:pPr>
        <w:numPr>
          <w:ilvl w:val="1"/>
          <w:numId w:val="1"/>
        </w:numPr>
        <w:ind w:right="54" w:hanging="425"/>
      </w:pPr>
      <w:r>
        <w:t xml:space="preserve">Electronically by posting on a website </w:t>
      </w:r>
    </w:p>
    <w:p w14:paraId="5119618A" w14:textId="77777777" w:rsidR="00AB054C" w:rsidRDefault="00516D1E">
      <w:pPr>
        <w:spacing w:after="0" w:line="259" w:lineRule="auto"/>
        <w:ind w:left="1133" w:firstLine="0"/>
      </w:pPr>
      <w:r>
        <w:t xml:space="preserve"> </w:t>
      </w:r>
    </w:p>
    <w:p w14:paraId="55BFD4B5" w14:textId="77777777" w:rsidR="00AB054C" w:rsidRDefault="00516D1E">
      <w:pPr>
        <w:ind w:left="718" w:right="54"/>
      </w:pPr>
      <w:r>
        <w:t xml:space="preserve">If a scheme wishes to use electronic communications; members must be notified in advance and must be able to choose to continue to receive information by post if that is what they prefer.  </w:t>
      </w:r>
    </w:p>
    <w:p w14:paraId="3B4FFAF9" w14:textId="77777777" w:rsidR="00AB054C" w:rsidRDefault="00516D1E">
      <w:pPr>
        <w:spacing w:after="0" w:line="259" w:lineRule="auto"/>
        <w:ind w:left="0" w:firstLine="0"/>
      </w:pPr>
      <w:r>
        <w:rPr>
          <w:b/>
        </w:rPr>
        <w:t xml:space="preserve"> </w:t>
      </w:r>
    </w:p>
    <w:p w14:paraId="065BE66C" w14:textId="77777777" w:rsidR="00AB054C" w:rsidRDefault="00516D1E">
      <w:pPr>
        <w:spacing w:after="0" w:line="259" w:lineRule="auto"/>
        <w:ind w:left="0" w:firstLine="0"/>
      </w:pPr>
      <w:r>
        <w:rPr>
          <w:b/>
        </w:rPr>
        <w:t xml:space="preserve"> </w:t>
      </w:r>
    </w:p>
    <w:p w14:paraId="0EA3670C" w14:textId="77777777" w:rsidR="00AB054C" w:rsidRDefault="00516D1E">
      <w:pPr>
        <w:ind w:left="718" w:right="54"/>
      </w:pPr>
      <w:r>
        <w:t xml:space="preserve">Relevant section of the manual is Part 1 Chapter 2.4.3 </w:t>
      </w:r>
    </w:p>
    <w:p w14:paraId="2DB4F879" w14:textId="77777777" w:rsidR="00AB054C" w:rsidRDefault="00516D1E">
      <w:pPr>
        <w:numPr>
          <w:ilvl w:val="2"/>
          <w:numId w:val="1"/>
        </w:numPr>
        <w:spacing w:after="15" w:line="259" w:lineRule="auto"/>
        <w:ind w:right="67" w:hanging="158"/>
        <w:jc w:val="right"/>
      </w:pPr>
      <w:r>
        <w:rPr>
          <w:b/>
        </w:rPr>
        <w:t xml:space="preserve">marks </w:t>
      </w:r>
    </w:p>
    <w:p w14:paraId="12AD0DE1" w14:textId="77777777" w:rsidR="00AB054C" w:rsidRDefault="00516D1E">
      <w:pPr>
        <w:spacing w:after="0" w:line="259" w:lineRule="auto"/>
        <w:ind w:left="0" w:firstLine="0"/>
      </w:pPr>
      <w:r>
        <w:t xml:space="preserve"> </w:t>
      </w:r>
    </w:p>
    <w:p w14:paraId="13FA3500" w14:textId="77777777" w:rsidR="00AB054C" w:rsidRDefault="00516D1E">
      <w:pPr>
        <w:spacing w:after="0" w:line="259" w:lineRule="auto"/>
        <w:ind w:left="0" w:firstLine="0"/>
      </w:pPr>
      <w:r>
        <w:t xml:space="preserve"> </w:t>
      </w:r>
    </w:p>
    <w:p w14:paraId="00D006B0" w14:textId="77777777" w:rsidR="00AB054C" w:rsidRDefault="00516D1E">
      <w:pPr>
        <w:spacing w:after="0" w:line="259" w:lineRule="auto"/>
        <w:ind w:left="0" w:firstLine="0"/>
      </w:pPr>
      <w:r>
        <w:rPr>
          <w:b/>
        </w:rPr>
        <w:t xml:space="preserve"> </w:t>
      </w:r>
    </w:p>
    <w:p w14:paraId="479D3E91" w14:textId="77777777" w:rsidR="00AB054C" w:rsidRDefault="00516D1E">
      <w:pPr>
        <w:spacing w:after="0" w:line="259" w:lineRule="auto"/>
        <w:ind w:left="0" w:firstLine="0"/>
      </w:pPr>
      <w:r>
        <w:rPr>
          <w:b/>
        </w:rPr>
        <w:t xml:space="preserve"> </w:t>
      </w:r>
    </w:p>
    <w:p w14:paraId="76761618" w14:textId="77777777" w:rsidR="00AB054C" w:rsidRDefault="00516D1E">
      <w:pPr>
        <w:numPr>
          <w:ilvl w:val="0"/>
          <w:numId w:val="1"/>
        </w:numPr>
        <w:spacing w:after="10" w:line="269" w:lineRule="auto"/>
        <w:ind w:hanging="360"/>
      </w:pPr>
      <w:r>
        <w:rPr>
          <w:b/>
        </w:rPr>
        <w:t xml:space="preserve">Outline the main features of a Cash Balance Scheme, explaining the similarities to a Money Purchase Scheme. </w:t>
      </w:r>
    </w:p>
    <w:p w14:paraId="56FD80B8" w14:textId="77777777" w:rsidR="009A2D91" w:rsidRDefault="00516D1E" w:rsidP="009A2D91">
      <w:pPr>
        <w:spacing w:after="0" w:line="277" w:lineRule="auto"/>
        <w:ind w:left="422" w:right="67"/>
        <w:jc w:val="right"/>
        <w:rPr>
          <w:b/>
        </w:rPr>
      </w:pPr>
      <w:r>
        <w:rPr>
          <w:b/>
        </w:rPr>
        <w:t>15 ma</w:t>
      </w:r>
      <w:r w:rsidR="009A2D91">
        <w:rPr>
          <w:b/>
        </w:rPr>
        <w:t>rks</w:t>
      </w:r>
    </w:p>
    <w:p w14:paraId="2B3A7EB9" w14:textId="5F1C2D2A" w:rsidR="00AB054C" w:rsidRPr="009A2D91" w:rsidRDefault="00516D1E" w:rsidP="009A2D91">
      <w:pPr>
        <w:spacing w:after="0" w:line="277" w:lineRule="auto"/>
        <w:ind w:left="422" w:right="67"/>
        <w:rPr>
          <w:b/>
        </w:rPr>
      </w:pPr>
      <w:r>
        <w:rPr>
          <w:b/>
        </w:rPr>
        <w:t xml:space="preserve"> </w:t>
      </w:r>
      <w:r>
        <w:t xml:space="preserve">Answer should cover the following: </w:t>
      </w:r>
    </w:p>
    <w:p w14:paraId="7E1C372D" w14:textId="77777777" w:rsidR="00AB054C" w:rsidRDefault="00516D1E">
      <w:pPr>
        <w:spacing w:after="17" w:line="259" w:lineRule="auto"/>
        <w:ind w:left="427" w:firstLine="0"/>
      </w:pPr>
      <w:r>
        <w:t xml:space="preserve"> </w:t>
      </w:r>
    </w:p>
    <w:p w14:paraId="1B7DAD7D" w14:textId="77777777" w:rsidR="00AB054C" w:rsidRDefault="00516D1E">
      <w:pPr>
        <w:ind w:right="54"/>
      </w:pPr>
      <w:r>
        <w:t xml:space="preserve">Although cash balance schemes are Defined Benefit schemes, they share some characteristics of Money Purchase schemes.  Like Money Purchase schemes, contributions are paid each year by the employee and employer, are invested, and at retirement the member is provided with a cash sum, which is then used to provide a pension. </w:t>
      </w:r>
    </w:p>
    <w:p w14:paraId="3F755CDE" w14:textId="77777777" w:rsidR="00AB054C" w:rsidRDefault="00516D1E">
      <w:pPr>
        <w:spacing w:after="0" w:line="259" w:lineRule="auto"/>
        <w:ind w:left="0" w:firstLine="0"/>
      </w:pPr>
      <w:r>
        <w:t xml:space="preserve"> </w:t>
      </w:r>
    </w:p>
    <w:p w14:paraId="14787CEE" w14:textId="77777777" w:rsidR="00AB054C" w:rsidRDefault="00516D1E">
      <w:pPr>
        <w:ind w:right="54"/>
      </w:pPr>
      <w:r>
        <w:t xml:space="preserve">The cash sum at retirement is defined at the outset and the employer will pay in whatever level of contributions is necessary to provide this lump sum.  </w:t>
      </w:r>
    </w:p>
    <w:p w14:paraId="6D5D667D" w14:textId="77777777" w:rsidR="00AB054C" w:rsidRDefault="00516D1E">
      <w:pPr>
        <w:spacing w:after="0" w:line="259" w:lineRule="auto"/>
        <w:ind w:left="0" w:firstLine="0"/>
      </w:pPr>
      <w:r>
        <w:t xml:space="preserve"> </w:t>
      </w:r>
    </w:p>
    <w:p w14:paraId="3331B3CF" w14:textId="7FCB318A" w:rsidR="00AB054C" w:rsidRDefault="00516D1E">
      <w:pPr>
        <w:ind w:right="54"/>
      </w:pPr>
      <w:r>
        <w:t xml:space="preserve">For example, a company might set up a cash balance scheme where members pay 5% of salary each year and in return get a lump sum at age 65 of 20% of final salary for each year of membership.  </w:t>
      </w:r>
      <w:r w:rsidR="00160AC7">
        <w:t>So,</w:t>
      </w:r>
      <w:r>
        <w:t xml:space="preserve"> a member with 10 years’ service when he reaches age 65 will have a pot equal to twice his final </w:t>
      </w:r>
      <w:r w:rsidR="00F46C1F">
        <w:t>salary and</w:t>
      </w:r>
      <w:r>
        <w:t xml:space="preserve"> will use this to buy a pension (although in common with other schemes, part of the benefit can usually be taken in the form of a lump sum).  </w:t>
      </w:r>
    </w:p>
    <w:p w14:paraId="14CBE358" w14:textId="77777777" w:rsidR="00AB054C" w:rsidRDefault="00516D1E">
      <w:pPr>
        <w:spacing w:after="0" w:line="259" w:lineRule="auto"/>
        <w:ind w:left="0" w:firstLine="0"/>
      </w:pPr>
      <w:r>
        <w:t xml:space="preserve"> </w:t>
      </w:r>
    </w:p>
    <w:p w14:paraId="6CDD63F5" w14:textId="77777777" w:rsidR="00AB054C" w:rsidRDefault="00516D1E">
      <w:pPr>
        <w:ind w:right="54"/>
      </w:pPr>
      <w:r>
        <w:t xml:space="preserve">Alternatively, the rules might set out what the employer’s minimum contribution rate is and also stipulate a rate of investment return to be allocated, for example 7% pa. This alternative cash balance structure is also Defined Benefit, because it is possible to work out in advance what benefit (expressed in cash terms) the member will get for a given number of years’ service and for a given salary.  </w:t>
      </w:r>
    </w:p>
    <w:p w14:paraId="0450A8AA" w14:textId="77777777" w:rsidR="00AB054C" w:rsidRDefault="00516D1E">
      <w:pPr>
        <w:spacing w:after="0" w:line="259" w:lineRule="auto"/>
        <w:ind w:left="0" w:firstLine="0"/>
      </w:pPr>
      <w:r>
        <w:t xml:space="preserve"> </w:t>
      </w:r>
    </w:p>
    <w:p w14:paraId="25634293" w14:textId="77777777" w:rsidR="00AB054C" w:rsidRDefault="00516D1E">
      <w:pPr>
        <w:ind w:right="54"/>
      </w:pPr>
      <w:r>
        <w:t xml:space="preserve">In either case, the sum of money available to provide benefits for the member at retirement is calculated in accordance with a formula.  </w:t>
      </w:r>
    </w:p>
    <w:p w14:paraId="6BFDB972" w14:textId="77777777" w:rsidR="00AB054C" w:rsidRDefault="00516D1E">
      <w:pPr>
        <w:spacing w:after="0" w:line="259" w:lineRule="auto"/>
        <w:ind w:left="0" w:firstLine="0"/>
      </w:pPr>
      <w:r>
        <w:t xml:space="preserve"> </w:t>
      </w:r>
    </w:p>
    <w:p w14:paraId="7FC04585" w14:textId="77777777" w:rsidR="00AB054C" w:rsidRDefault="00516D1E">
      <w:pPr>
        <w:ind w:right="54"/>
      </w:pPr>
      <w:r>
        <w:t xml:space="preserve">However, although the cash value of the benefit at retirement is defined, the amount of pension that the member will receive is not known in advance and will depend on market conditions prevailing when the member retires.  In this aspect, a cash balance scheme is more like a Money Purchase scheme than a Defined Benefit scheme such as a final salary or CARE scheme.   </w:t>
      </w:r>
    </w:p>
    <w:p w14:paraId="0E37E9F1" w14:textId="77777777" w:rsidR="00AB054C" w:rsidRDefault="00516D1E">
      <w:pPr>
        <w:spacing w:after="0" w:line="259" w:lineRule="auto"/>
        <w:ind w:left="427" w:firstLine="0"/>
      </w:pPr>
      <w:r>
        <w:t xml:space="preserve"> </w:t>
      </w:r>
    </w:p>
    <w:p w14:paraId="12168850" w14:textId="417349CE" w:rsidR="00AB054C" w:rsidRDefault="00516D1E">
      <w:pPr>
        <w:ind w:right="54"/>
      </w:pPr>
      <w:r>
        <w:t>Relevant section of the manual is Part 1 Chapter 5.1.</w:t>
      </w:r>
      <w:r w:rsidR="00160AC7">
        <w:t>4</w:t>
      </w:r>
    </w:p>
    <w:p w14:paraId="05781CAA" w14:textId="77777777" w:rsidR="00AB054C" w:rsidRDefault="00516D1E">
      <w:pPr>
        <w:spacing w:after="15" w:line="259" w:lineRule="auto"/>
        <w:ind w:left="10" w:right="67"/>
        <w:jc w:val="right"/>
      </w:pPr>
      <w:r>
        <w:rPr>
          <w:b/>
        </w:rPr>
        <w:t xml:space="preserve">15 marks </w:t>
      </w:r>
    </w:p>
    <w:p w14:paraId="6BF050B0" w14:textId="77777777" w:rsidR="00AB054C" w:rsidRDefault="00516D1E">
      <w:pPr>
        <w:spacing w:after="0" w:line="259" w:lineRule="auto"/>
        <w:ind w:left="0" w:firstLine="0"/>
      </w:pPr>
      <w:r>
        <w:t xml:space="preserve"> </w:t>
      </w:r>
    </w:p>
    <w:p w14:paraId="7D547335" w14:textId="77777777" w:rsidR="00AB054C" w:rsidRDefault="00516D1E">
      <w:pPr>
        <w:spacing w:after="0" w:line="259" w:lineRule="auto"/>
        <w:ind w:left="0" w:firstLine="0"/>
      </w:pPr>
      <w:r>
        <w:t xml:space="preserve"> </w:t>
      </w:r>
    </w:p>
    <w:p w14:paraId="2BD4C173" w14:textId="77777777" w:rsidR="00AB054C" w:rsidRDefault="00516D1E">
      <w:pPr>
        <w:spacing w:after="0" w:line="259" w:lineRule="auto"/>
        <w:ind w:left="0" w:firstLine="0"/>
      </w:pPr>
      <w:r>
        <w:lastRenderedPageBreak/>
        <w:t xml:space="preserve"> </w:t>
      </w:r>
    </w:p>
    <w:p w14:paraId="1C0E22BC" w14:textId="77777777" w:rsidR="00AB054C" w:rsidRDefault="00516D1E">
      <w:pPr>
        <w:spacing w:after="0" w:line="240" w:lineRule="auto"/>
        <w:ind w:left="0" w:right="5888" w:firstLine="0"/>
      </w:pPr>
      <w:r>
        <w:t xml:space="preserve"> </w:t>
      </w:r>
      <w:r>
        <w:rPr>
          <w:b/>
        </w:rPr>
        <w:t xml:space="preserve"> </w:t>
      </w:r>
      <w:r>
        <w:rPr>
          <w:b/>
        </w:rPr>
        <w:tab/>
        <w:t xml:space="preserve"> </w:t>
      </w:r>
    </w:p>
    <w:p w14:paraId="6557447C" w14:textId="77777777" w:rsidR="00AB054C" w:rsidRDefault="00516D1E">
      <w:pPr>
        <w:numPr>
          <w:ilvl w:val="0"/>
          <w:numId w:val="2"/>
        </w:numPr>
        <w:spacing w:after="10" w:line="269" w:lineRule="auto"/>
        <w:ind w:hanging="427"/>
      </w:pPr>
      <w:r>
        <w:rPr>
          <w:b/>
        </w:rPr>
        <w:t>Describe a cross border scheme and the requirements for an occupational scheme with its main administration in the UK</w:t>
      </w:r>
      <w:r>
        <w:t xml:space="preserve">. </w:t>
      </w:r>
    </w:p>
    <w:p w14:paraId="359CF6A6" w14:textId="77777777" w:rsidR="00160AC7" w:rsidRDefault="00516D1E">
      <w:pPr>
        <w:spacing w:after="0" w:line="277" w:lineRule="auto"/>
        <w:ind w:left="422" w:right="67"/>
        <w:jc w:val="right"/>
        <w:rPr>
          <w:b/>
        </w:rPr>
      </w:pPr>
      <w:r>
        <w:rPr>
          <w:b/>
        </w:rPr>
        <w:t>10 marks</w:t>
      </w:r>
    </w:p>
    <w:p w14:paraId="706CAA3A" w14:textId="77777777" w:rsidR="00160AC7" w:rsidRDefault="00160AC7">
      <w:pPr>
        <w:spacing w:after="0" w:line="277" w:lineRule="auto"/>
        <w:ind w:left="422" w:right="67"/>
        <w:jc w:val="right"/>
        <w:rPr>
          <w:b/>
        </w:rPr>
      </w:pPr>
    </w:p>
    <w:p w14:paraId="5FEB401B" w14:textId="3D974CDE" w:rsidR="00AB054C" w:rsidRDefault="00516D1E">
      <w:pPr>
        <w:spacing w:after="0" w:line="277" w:lineRule="auto"/>
        <w:ind w:left="422" w:right="67"/>
        <w:jc w:val="right"/>
      </w:pPr>
      <w:r>
        <w:rPr>
          <w:b/>
        </w:rPr>
        <w:t xml:space="preserve"> </w:t>
      </w:r>
      <w:r>
        <w:t xml:space="preserve">Answer should cover the following: </w:t>
      </w:r>
    </w:p>
    <w:p w14:paraId="5F073DB3" w14:textId="77777777" w:rsidR="00AB054C" w:rsidRDefault="00516D1E">
      <w:pPr>
        <w:spacing w:after="29" w:line="259" w:lineRule="auto"/>
        <w:ind w:left="427" w:firstLine="0"/>
      </w:pPr>
      <w:r>
        <w:t xml:space="preserve"> </w:t>
      </w:r>
    </w:p>
    <w:p w14:paraId="33D6D977" w14:textId="77777777" w:rsidR="00AB054C" w:rsidRDefault="00516D1E">
      <w:pPr>
        <w:numPr>
          <w:ilvl w:val="2"/>
          <w:numId w:val="5"/>
        </w:numPr>
        <w:ind w:right="54" w:hanging="360"/>
      </w:pPr>
      <w:r>
        <w:t xml:space="preserve">A scheme designed to allow cross border activity and a description of cross border activity.   </w:t>
      </w:r>
    </w:p>
    <w:p w14:paraId="5461711D" w14:textId="77777777" w:rsidR="00AB054C" w:rsidRDefault="00516D1E">
      <w:pPr>
        <w:numPr>
          <w:ilvl w:val="2"/>
          <w:numId w:val="5"/>
        </w:numPr>
        <w:ind w:right="54" w:hanging="360"/>
      </w:pPr>
      <w:r>
        <w:t xml:space="preserve">Registration by a relevant supervisory body </w:t>
      </w:r>
    </w:p>
    <w:p w14:paraId="393D38EE" w14:textId="77777777" w:rsidR="00AB054C" w:rsidRDefault="00516D1E">
      <w:pPr>
        <w:numPr>
          <w:ilvl w:val="2"/>
          <w:numId w:val="5"/>
        </w:numPr>
        <w:ind w:right="54" w:hanging="360"/>
      </w:pPr>
      <w:r>
        <w:t xml:space="preserve">Technical provisions calculated on the basis of actuarial methods recognised by the Member State </w:t>
      </w:r>
    </w:p>
    <w:p w14:paraId="7CBDE2AA" w14:textId="77777777" w:rsidR="00AB054C" w:rsidRDefault="00516D1E">
      <w:pPr>
        <w:numPr>
          <w:ilvl w:val="2"/>
          <w:numId w:val="5"/>
        </w:numPr>
        <w:ind w:right="54" w:hanging="360"/>
      </w:pPr>
      <w:r>
        <w:t xml:space="preserve">Effectively run by persons of good repute </w:t>
      </w:r>
    </w:p>
    <w:p w14:paraId="1BAD9CA8" w14:textId="77777777" w:rsidR="00AB054C" w:rsidRDefault="00516D1E">
      <w:pPr>
        <w:numPr>
          <w:ilvl w:val="2"/>
          <w:numId w:val="5"/>
        </w:numPr>
        <w:ind w:right="54" w:hanging="360"/>
      </w:pPr>
      <w:r>
        <w:t xml:space="preserve">Governed by properly constituted rules </w:t>
      </w:r>
    </w:p>
    <w:p w14:paraId="6E5F871C" w14:textId="77777777" w:rsidR="00AB054C" w:rsidRDefault="00516D1E">
      <w:pPr>
        <w:numPr>
          <w:ilvl w:val="2"/>
          <w:numId w:val="5"/>
        </w:numPr>
        <w:ind w:right="54" w:hanging="360"/>
      </w:pPr>
      <w:r>
        <w:t xml:space="preserve">Commitment to meet costs regularly by sponsoring employer where employer guarantees payment of benefits under it </w:t>
      </w:r>
    </w:p>
    <w:p w14:paraId="5B663B5E" w14:textId="77777777" w:rsidR="00670F35" w:rsidRDefault="00516D1E">
      <w:pPr>
        <w:numPr>
          <w:ilvl w:val="2"/>
          <w:numId w:val="5"/>
        </w:numPr>
        <w:ind w:right="54" w:hanging="360"/>
      </w:pPr>
      <w:r>
        <w:t xml:space="preserve">Scheme members sufficiently informed </w:t>
      </w:r>
      <w:r w:rsidR="00670F35">
        <w:t>concerning</w:t>
      </w:r>
    </w:p>
    <w:p w14:paraId="366E1464" w14:textId="0460B4B9" w:rsidR="00670F35" w:rsidRDefault="00670F35" w:rsidP="00670F35">
      <w:pPr>
        <w:ind w:left="1197" w:right="54" w:firstLine="0"/>
      </w:pPr>
      <w:r w:rsidRPr="00670F35">
        <w:t xml:space="preserve">- the rules and obligations of the parties involved in the </w:t>
      </w:r>
      <w:r w:rsidR="00E52ACE" w:rsidRPr="00670F35">
        <w:t>scheme.</w:t>
      </w:r>
    </w:p>
    <w:p w14:paraId="21E7F77A" w14:textId="1BA9847D" w:rsidR="00670F35" w:rsidRDefault="00670F35" w:rsidP="00670F35">
      <w:pPr>
        <w:ind w:right="54"/>
      </w:pPr>
      <w:r>
        <w:t xml:space="preserve">             </w:t>
      </w:r>
      <w:r w:rsidRPr="00670F35">
        <w:t xml:space="preserve"> - the financial, </w:t>
      </w:r>
      <w:proofErr w:type="gramStart"/>
      <w:r w:rsidRPr="00670F35">
        <w:t>technical</w:t>
      </w:r>
      <w:proofErr w:type="gramEnd"/>
      <w:r w:rsidRPr="00670F35">
        <w:t xml:space="preserve"> and other risks associated with the </w:t>
      </w:r>
      <w:r w:rsidR="00E52ACE" w:rsidRPr="00670F35">
        <w:t>scheme.</w:t>
      </w:r>
      <w:r w:rsidRPr="00670F35">
        <w:t xml:space="preserve"> </w:t>
      </w:r>
    </w:p>
    <w:p w14:paraId="61CF3235" w14:textId="6C9C6F4D" w:rsidR="00AB054C" w:rsidRDefault="00670F35" w:rsidP="00670F35">
      <w:pPr>
        <w:ind w:right="54"/>
      </w:pPr>
      <w:r>
        <w:t xml:space="preserve">              </w:t>
      </w:r>
      <w:r w:rsidRPr="00670F35">
        <w:t>- the nature and distribution of those risks.</w:t>
      </w:r>
    </w:p>
    <w:p w14:paraId="64C610F7" w14:textId="77777777" w:rsidR="00AB054C" w:rsidRDefault="00516D1E">
      <w:pPr>
        <w:numPr>
          <w:ilvl w:val="2"/>
          <w:numId w:val="5"/>
        </w:numPr>
        <w:ind w:right="54" w:hanging="360"/>
      </w:pPr>
      <w:r>
        <w:t xml:space="preserve">European Pensions Directive – requirement technical provisions to be fully funded  </w:t>
      </w:r>
    </w:p>
    <w:p w14:paraId="1D85BB49" w14:textId="77777777" w:rsidR="00AB054C" w:rsidRDefault="00516D1E">
      <w:pPr>
        <w:spacing w:after="24" w:line="259" w:lineRule="auto"/>
        <w:ind w:left="0" w:right="848" w:firstLine="0"/>
        <w:jc w:val="right"/>
      </w:pPr>
      <w:r>
        <w:t xml:space="preserve"> </w:t>
      </w:r>
    </w:p>
    <w:p w14:paraId="2E6E940C" w14:textId="77777777" w:rsidR="00AB054C" w:rsidRDefault="00516D1E">
      <w:pPr>
        <w:ind w:right="54"/>
      </w:pPr>
      <w:r>
        <w:t xml:space="preserve">Relevant section of the manual is Part 1 Chapter 5.3.3. </w:t>
      </w:r>
    </w:p>
    <w:p w14:paraId="6332507F" w14:textId="77777777" w:rsidR="00AB054C" w:rsidRDefault="00516D1E">
      <w:pPr>
        <w:spacing w:after="14" w:line="259" w:lineRule="auto"/>
        <w:ind w:left="0" w:right="848" w:firstLine="0"/>
        <w:jc w:val="right"/>
      </w:pPr>
      <w:r>
        <w:t xml:space="preserve"> </w:t>
      </w:r>
    </w:p>
    <w:p w14:paraId="1C47048F" w14:textId="77777777" w:rsidR="00AB054C" w:rsidRDefault="00516D1E">
      <w:pPr>
        <w:spacing w:after="10" w:line="269" w:lineRule="auto"/>
        <w:ind w:left="7956"/>
      </w:pPr>
      <w:r>
        <w:rPr>
          <w:b/>
        </w:rPr>
        <w:t xml:space="preserve">10 marks </w:t>
      </w:r>
    </w:p>
    <w:p w14:paraId="6B86B56B" w14:textId="77777777" w:rsidR="00AB054C" w:rsidRDefault="00516D1E">
      <w:pPr>
        <w:spacing w:after="0" w:line="259" w:lineRule="auto"/>
        <w:ind w:left="0" w:firstLine="0"/>
      </w:pPr>
      <w:r>
        <w:t xml:space="preserve"> </w:t>
      </w:r>
    </w:p>
    <w:p w14:paraId="29EAB10D" w14:textId="77777777" w:rsidR="00AB054C" w:rsidRDefault="00516D1E">
      <w:pPr>
        <w:spacing w:after="0" w:line="259" w:lineRule="auto"/>
        <w:ind w:left="0" w:firstLine="0"/>
      </w:pPr>
      <w:r>
        <w:t xml:space="preserve"> </w:t>
      </w:r>
    </w:p>
    <w:p w14:paraId="2B96F7D8" w14:textId="77777777" w:rsidR="00AB054C" w:rsidRDefault="00516D1E">
      <w:pPr>
        <w:spacing w:after="0" w:line="259" w:lineRule="auto"/>
        <w:ind w:left="0" w:firstLine="0"/>
      </w:pPr>
      <w:r>
        <w:t xml:space="preserve"> </w:t>
      </w:r>
    </w:p>
    <w:p w14:paraId="59AEF52E" w14:textId="77777777" w:rsidR="00AB054C" w:rsidRDefault="00516D1E">
      <w:pPr>
        <w:spacing w:after="17" w:line="259" w:lineRule="auto"/>
        <w:ind w:left="0" w:firstLine="0"/>
        <w:jc w:val="right"/>
      </w:pPr>
      <w:r>
        <w:rPr>
          <w:b/>
        </w:rPr>
        <w:t xml:space="preserve"> </w:t>
      </w:r>
    </w:p>
    <w:p w14:paraId="2800CC24" w14:textId="77777777" w:rsidR="00AB054C" w:rsidRDefault="00516D1E">
      <w:pPr>
        <w:spacing w:after="14" w:line="259" w:lineRule="auto"/>
        <w:ind w:left="0" w:right="848" w:firstLine="0"/>
        <w:jc w:val="right"/>
      </w:pPr>
      <w:r>
        <w:rPr>
          <w:b/>
        </w:rPr>
        <w:t xml:space="preserve"> </w:t>
      </w:r>
    </w:p>
    <w:p w14:paraId="41A4402B" w14:textId="77777777" w:rsidR="00AB054C" w:rsidRDefault="00516D1E">
      <w:pPr>
        <w:numPr>
          <w:ilvl w:val="0"/>
          <w:numId w:val="2"/>
        </w:numPr>
        <w:spacing w:after="10" w:line="269" w:lineRule="auto"/>
        <w:ind w:hanging="427"/>
      </w:pPr>
      <w:r>
        <w:rPr>
          <w:b/>
        </w:rPr>
        <w:t>Briefly outline who may establish a personal pension</w:t>
      </w:r>
      <w:r>
        <w:t xml:space="preserve">. </w:t>
      </w:r>
    </w:p>
    <w:p w14:paraId="553E8936" w14:textId="77777777" w:rsidR="00AB054C" w:rsidRDefault="00516D1E">
      <w:pPr>
        <w:spacing w:after="17" w:line="259" w:lineRule="auto"/>
        <w:ind w:left="360" w:firstLine="0"/>
      </w:pPr>
      <w:r>
        <w:t xml:space="preserve"> </w:t>
      </w:r>
    </w:p>
    <w:p w14:paraId="5B22C36B" w14:textId="77777777" w:rsidR="00AB054C" w:rsidRDefault="00516D1E">
      <w:pPr>
        <w:spacing w:after="15" w:line="259" w:lineRule="auto"/>
        <w:ind w:left="10" w:right="67"/>
        <w:jc w:val="right"/>
      </w:pPr>
      <w:r>
        <w:rPr>
          <w:b/>
        </w:rPr>
        <w:t xml:space="preserve">5 marks </w:t>
      </w:r>
    </w:p>
    <w:p w14:paraId="5FAFC1CD" w14:textId="77777777" w:rsidR="00AB054C" w:rsidRDefault="00516D1E">
      <w:pPr>
        <w:spacing w:after="17" w:line="259" w:lineRule="auto"/>
        <w:ind w:left="0" w:firstLine="0"/>
        <w:jc w:val="right"/>
      </w:pPr>
      <w:r>
        <w:t xml:space="preserve"> </w:t>
      </w:r>
    </w:p>
    <w:p w14:paraId="74AABED2" w14:textId="77777777" w:rsidR="00AB054C" w:rsidRDefault="00516D1E">
      <w:pPr>
        <w:spacing w:after="48"/>
        <w:ind w:right="54"/>
      </w:pPr>
      <w:r>
        <w:t xml:space="preserve">Answer should cover: </w:t>
      </w:r>
    </w:p>
    <w:p w14:paraId="556766F7" w14:textId="5CF47E49" w:rsidR="00AB054C" w:rsidRDefault="00516D1E">
      <w:pPr>
        <w:numPr>
          <w:ilvl w:val="2"/>
          <w:numId w:val="4"/>
        </w:numPr>
        <w:ind w:right="54" w:hanging="281"/>
      </w:pPr>
      <w:r>
        <w:t xml:space="preserve">Only an “authorised pension provider” </w:t>
      </w:r>
    </w:p>
    <w:p w14:paraId="7AE5E220" w14:textId="3294B7A8" w:rsidR="00AB054C" w:rsidRDefault="00516D1E">
      <w:pPr>
        <w:numPr>
          <w:ilvl w:val="2"/>
          <w:numId w:val="4"/>
        </w:numPr>
        <w:ind w:right="54" w:hanging="281"/>
      </w:pPr>
      <w:r>
        <w:t xml:space="preserve">Before 6 April 2001 provider authorised to carry on investment business.  </w:t>
      </w:r>
    </w:p>
    <w:p w14:paraId="6020E201" w14:textId="6F15BEEE" w:rsidR="00AB054C" w:rsidRDefault="00516D1E">
      <w:pPr>
        <w:tabs>
          <w:tab w:val="center" w:pos="1137"/>
          <w:tab w:val="center" w:pos="4698"/>
        </w:tabs>
        <w:spacing w:after="40"/>
        <w:ind w:left="0" w:firstLine="0"/>
      </w:pPr>
      <w:r>
        <w:rPr>
          <w:rFonts w:ascii="Calibri" w:eastAsia="Calibri" w:hAnsi="Calibri" w:cs="Calibri"/>
          <w:sz w:val="22"/>
        </w:rPr>
        <w:tab/>
      </w:r>
      <w:r w:rsidR="00670F35">
        <w:rPr>
          <w:rFonts w:ascii="Calibri" w:eastAsia="Calibri" w:hAnsi="Calibri" w:cs="Calibri"/>
          <w:sz w:val="22"/>
        </w:rPr>
        <w:t>Usually</w:t>
      </w:r>
      <w:r>
        <w:tab/>
        <w:t xml:space="preserve">Insurance companies; building societies; banks; unit trusts; friendly societies. </w:t>
      </w:r>
    </w:p>
    <w:p w14:paraId="688B2E48" w14:textId="77777777" w:rsidR="00AB054C" w:rsidRDefault="00516D1E">
      <w:pPr>
        <w:ind w:left="847" w:right="54"/>
      </w:pPr>
      <w:r>
        <w:rPr>
          <w:rFonts w:ascii="Segoe UI Symbol" w:eastAsia="Segoe UI Symbol" w:hAnsi="Segoe UI Symbol" w:cs="Segoe UI Symbol"/>
        </w:rPr>
        <w:t>•</w:t>
      </w:r>
      <w:r>
        <w:t xml:space="preserve"> Since April 2001, no such restrictions provided set up under trust. </w:t>
      </w:r>
    </w:p>
    <w:p w14:paraId="3E7B6BE7" w14:textId="77777777" w:rsidR="00AB054C" w:rsidRDefault="00516D1E">
      <w:pPr>
        <w:spacing w:after="14" w:line="259" w:lineRule="auto"/>
        <w:ind w:left="1133" w:firstLine="0"/>
      </w:pPr>
      <w:r>
        <w:t xml:space="preserve"> </w:t>
      </w:r>
    </w:p>
    <w:p w14:paraId="1FE75E67" w14:textId="77777777" w:rsidR="00AB054C" w:rsidRDefault="00516D1E">
      <w:pPr>
        <w:spacing w:after="17" w:line="259" w:lineRule="auto"/>
        <w:ind w:left="1133" w:firstLine="0"/>
      </w:pPr>
      <w:r>
        <w:t xml:space="preserve"> </w:t>
      </w:r>
    </w:p>
    <w:p w14:paraId="0A1D54F6" w14:textId="77777777" w:rsidR="00AB054C" w:rsidRDefault="00516D1E">
      <w:pPr>
        <w:spacing w:after="24" w:line="259" w:lineRule="auto"/>
        <w:ind w:left="0" w:firstLine="0"/>
        <w:jc w:val="right"/>
      </w:pPr>
      <w:r>
        <w:t xml:space="preserve"> </w:t>
      </w:r>
    </w:p>
    <w:p w14:paraId="2251160B" w14:textId="77777777" w:rsidR="00AB054C" w:rsidRDefault="00516D1E">
      <w:pPr>
        <w:ind w:right="54"/>
      </w:pPr>
      <w:r>
        <w:t xml:space="preserve">Relevant section of the manual is Part 1 Chapter 4.2.4. </w:t>
      </w:r>
    </w:p>
    <w:p w14:paraId="1BC77213" w14:textId="514C6608" w:rsidR="00AB054C" w:rsidRDefault="00516D1E">
      <w:pPr>
        <w:spacing w:after="15" w:line="259" w:lineRule="auto"/>
        <w:ind w:left="10" w:right="67"/>
        <w:jc w:val="right"/>
        <w:rPr>
          <w:b/>
        </w:rPr>
      </w:pPr>
      <w:r>
        <w:rPr>
          <w:b/>
        </w:rPr>
        <w:t xml:space="preserve">5 marks </w:t>
      </w:r>
    </w:p>
    <w:p w14:paraId="7AF32AB4" w14:textId="5DBA2783" w:rsidR="00E52ACE" w:rsidRDefault="00E52ACE">
      <w:pPr>
        <w:spacing w:after="15" w:line="259" w:lineRule="auto"/>
        <w:ind w:left="10" w:right="67"/>
        <w:jc w:val="right"/>
        <w:rPr>
          <w:b/>
        </w:rPr>
      </w:pPr>
    </w:p>
    <w:p w14:paraId="498AAAA0" w14:textId="67C09463" w:rsidR="00E52ACE" w:rsidRDefault="00E52ACE">
      <w:pPr>
        <w:spacing w:after="15" w:line="259" w:lineRule="auto"/>
        <w:ind w:left="10" w:right="67"/>
        <w:jc w:val="right"/>
        <w:rPr>
          <w:b/>
        </w:rPr>
      </w:pPr>
    </w:p>
    <w:p w14:paraId="6209991E" w14:textId="2543F71B" w:rsidR="00E52ACE" w:rsidRDefault="00E52ACE">
      <w:pPr>
        <w:spacing w:after="15" w:line="259" w:lineRule="auto"/>
        <w:ind w:left="10" w:right="67"/>
        <w:jc w:val="right"/>
        <w:rPr>
          <w:b/>
        </w:rPr>
      </w:pPr>
    </w:p>
    <w:p w14:paraId="3B6B8D2B" w14:textId="2813739A" w:rsidR="00E52ACE" w:rsidRDefault="00E52ACE">
      <w:pPr>
        <w:spacing w:after="15" w:line="259" w:lineRule="auto"/>
        <w:ind w:left="10" w:right="67"/>
        <w:jc w:val="right"/>
        <w:rPr>
          <w:b/>
        </w:rPr>
      </w:pPr>
    </w:p>
    <w:p w14:paraId="0D46B1A4" w14:textId="6C199A1F" w:rsidR="00E52ACE" w:rsidRDefault="00E52ACE">
      <w:pPr>
        <w:spacing w:after="15" w:line="259" w:lineRule="auto"/>
        <w:ind w:left="10" w:right="67"/>
        <w:jc w:val="right"/>
        <w:rPr>
          <w:b/>
        </w:rPr>
      </w:pPr>
    </w:p>
    <w:p w14:paraId="2D3A8449" w14:textId="38F1A316" w:rsidR="00E52ACE" w:rsidRDefault="00E52ACE">
      <w:pPr>
        <w:spacing w:after="15" w:line="259" w:lineRule="auto"/>
        <w:ind w:left="10" w:right="67"/>
        <w:jc w:val="right"/>
        <w:rPr>
          <w:b/>
        </w:rPr>
      </w:pPr>
    </w:p>
    <w:p w14:paraId="290A502C" w14:textId="0BB25EE9" w:rsidR="00E52ACE" w:rsidRDefault="00E52ACE">
      <w:pPr>
        <w:spacing w:after="15" w:line="259" w:lineRule="auto"/>
        <w:ind w:left="10" w:right="67"/>
        <w:jc w:val="right"/>
        <w:rPr>
          <w:b/>
        </w:rPr>
      </w:pPr>
    </w:p>
    <w:p w14:paraId="54EFC997" w14:textId="0E15817F" w:rsidR="00E52ACE" w:rsidRDefault="00E52ACE">
      <w:pPr>
        <w:spacing w:after="15" w:line="259" w:lineRule="auto"/>
        <w:ind w:left="10" w:right="67"/>
        <w:jc w:val="right"/>
        <w:rPr>
          <w:b/>
        </w:rPr>
      </w:pPr>
    </w:p>
    <w:p w14:paraId="6A159E3B" w14:textId="5A642702" w:rsidR="00E52ACE" w:rsidRDefault="00E52ACE">
      <w:pPr>
        <w:spacing w:after="15" w:line="259" w:lineRule="auto"/>
        <w:ind w:left="10" w:right="67"/>
        <w:jc w:val="right"/>
        <w:rPr>
          <w:b/>
        </w:rPr>
      </w:pPr>
    </w:p>
    <w:p w14:paraId="4F394EF1" w14:textId="64965DDF" w:rsidR="00E52ACE" w:rsidRDefault="00E52ACE">
      <w:pPr>
        <w:spacing w:after="15" w:line="259" w:lineRule="auto"/>
        <w:ind w:left="10" w:right="67"/>
        <w:jc w:val="right"/>
        <w:rPr>
          <w:b/>
        </w:rPr>
      </w:pPr>
    </w:p>
    <w:p w14:paraId="779C2A8C" w14:textId="3D192456" w:rsidR="00E52ACE" w:rsidRDefault="00E52ACE">
      <w:pPr>
        <w:spacing w:after="15" w:line="259" w:lineRule="auto"/>
        <w:ind w:left="10" w:right="67"/>
        <w:jc w:val="right"/>
        <w:rPr>
          <w:b/>
        </w:rPr>
      </w:pPr>
    </w:p>
    <w:p w14:paraId="0893CB3E" w14:textId="28E8AE64" w:rsidR="00E52ACE" w:rsidRDefault="00E52ACE">
      <w:pPr>
        <w:spacing w:after="15" w:line="259" w:lineRule="auto"/>
        <w:ind w:left="10" w:right="67"/>
        <w:jc w:val="right"/>
        <w:rPr>
          <w:b/>
        </w:rPr>
      </w:pPr>
    </w:p>
    <w:p w14:paraId="0176F3E5" w14:textId="4B774932" w:rsidR="00E52ACE" w:rsidRDefault="00E52ACE">
      <w:pPr>
        <w:spacing w:after="15" w:line="259" w:lineRule="auto"/>
        <w:ind w:left="10" w:right="67"/>
        <w:jc w:val="right"/>
        <w:rPr>
          <w:b/>
        </w:rPr>
      </w:pPr>
    </w:p>
    <w:p w14:paraId="3A3FD510" w14:textId="77777777" w:rsidR="00E52ACE" w:rsidRDefault="00E52ACE">
      <w:pPr>
        <w:spacing w:after="15" w:line="259" w:lineRule="auto"/>
        <w:ind w:left="10" w:right="67"/>
        <w:jc w:val="right"/>
      </w:pPr>
    </w:p>
    <w:p w14:paraId="4D7000B8" w14:textId="77777777" w:rsidR="00AB054C" w:rsidRDefault="00516D1E">
      <w:pPr>
        <w:spacing w:after="0" w:line="259" w:lineRule="auto"/>
        <w:ind w:left="0" w:firstLine="0"/>
      </w:pPr>
      <w:r>
        <w:rPr>
          <w:b/>
        </w:rPr>
        <w:t xml:space="preserve"> </w:t>
      </w:r>
    </w:p>
    <w:p w14:paraId="5CD86710" w14:textId="77777777" w:rsidR="00AB054C" w:rsidRDefault="00516D1E">
      <w:pPr>
        <w:numPr>
          <w:ilvl w:val="0"/>
          <w:numId w:val="2"/>
        </w:numPr>
        <w:spacing w:after="10" w:line="269" w:lineRule="auto"/>
        <w:ind w:hanging="427"/>
      </w:pPr>
      <w:r>
        <w:rPr>
          <w:b/>
        </w:rPr>
        <w:t>Outline the main features of a centralised Master Trust</w:t>
      </w:r>
      <w:r>
        <w:t xml:space="preserve">. </w:t>
      </w:r>
    </w:p>
    <w:p w14:paraId="74F6B0F1" w14:textId="77777777" w:rsidR="00AB054C" w:rsidRDefault="00516D1E">
      <w:pPr>
        <w:spacing w:after="17" w:line="259" w:lineRule="auto"/>
        <w:ind w:left="360" w:firstLine="0"/>
      </w:pPr>
      <w:r>
        <w:t xml:space="preserve"> </w:t>
      </w:r>
    </w:p>
    <w:p w14:paraId="36EF0F7A" w14:textId="77777777" w:rsidR="00AB054C" w:rsidRDefault="00516D1E">
      <w:pPr>
        <w:spacing w:after="10" w:line="269" w:lineRule="auto"/>
        <w:ind w:left="7931"/>
      </w:pPr>
      <w:r>
        <w:rPr>
          <w:b/>
        </w:rPr>
        <w:t xml:space="preserve">15 marks </w:t>
      </w:r>
    </w:p>
    <w:p w14:paraId="0C3193F7" w14:textId="77777777" w:rsidR="00AB054C" w:rsidRDefault="00516D1E">
      <w:pPr>
        <w:spacing w:after="17" w:line="259" w:lineRule="auto"/>
        <w:ind w:left="360" w:firstLine="0"/>
      </w:pPr>
      <w:r>
        <w:t xml:space="preserve"> </w:t>
      </w:r>
    </w:p>
    <w:p w14:paraId="650619A2" w14:textId="0FCDA5DD" w:rsidR="00AB054C" w:rsidRDefault="00516D1E">
      <w:pPr>
        <w:ind w:right="54"/>
      </w:pPr>
      <w:r>
        <w:t xml:space="preserve">Answer should cover: </w:t>
      </w:r>
    </w:p>
    <w:p w14:paraId="5F60C2C2" w14:textId="77777777" w:rsidR="00902471" w:rsidRDefault="00902471">
      <w:pPr>
        <w:ind w:right="54"/>
      </w:pPr>
    </w:p>
    <w:p w14:paraId="361250D1" w14:textId="75F26168" w:rsidR="00AB054C" w:rsidRDefault="00516D1E">
      <w:pPr>
        <w:numPr>
          <w:ilvl w:val="2"/>
          <w:numId w:val="3"/>
        </w:numPr>
        <w:ind w:right="54" w:hanging="281"/>
      </w:pPr>
      <w:r>
        <w:t xml:space="preserve">Collection, </w:t>
      </w:r>
      <w:r w:rsidR="00902471">
        <w:t>reconciliation,</w:t>
      </w:r>
      <w:r>
        <w:t xml:space="preserve"> and central functions </w:t>
      </w:r>
    </w:p>
    <w:p w14:paraId="77B32A27" w14:textId="77777777" w:rsidR="00AB054C" w:rsidRDefault="00516D1E">
      <w:pPr>
        <w:numPr>
          <w:ilvl w:val="2"/>
          <w:numId w:val="3"/>
        </w:numPr>
        <w:ind w:right="54" w:hanging="281"/>
      </w:pPr>
      <w:r>
        <w:t xml:space="preserve">Administration of accounts </w:t>
      </w:r>
    </w:p>
    <w:p w14:paraId="2F651E45" w14:textId="77777777" w:rsidR="00AB054C" w:rsidRDefault="00516D1E">
      <w:pPr>
        <w:numPr>
          <w:ilvl w:val="2"/>
          <w:numId w:val="3"/>
        </w:numPr>
        <w:ind w:right="54" w:hanging="281"/>
      </w:pPr>
      <w:r>
        <w:t xml:space="preserve">Investment and fund management </w:t>
      </w:r>
    </w:p>
    <w:p w14:paraId="5546F988" w14:textId="77777777" w:rsidR="00AB054C" w:rsidRDefault="00516D1E">
      <w:pPr>
        <w:numPr>
          <w:ilvl w:val="2"/>
          <w:numId w:val="3"/>
        </w:numPr>
        <w:ind w:right="54" w:hanging="281"/>
      </w:pPr>
      <w:r>
        <w:t xml:space="preserve">Accessing pensions savings </w:t>
      </w:r>
    </w:p>
    <w:p w14:paraId="0612988F" w14:textId="77777777" w:rsidR="00DC18B1" w:rsidRDefault="00516D1E">
      <w:pPr>
        <w:numPr>
          <w:ilvl w:val="2"/>
          <w:numId w:val="3"/>
        </w:numPr>
        <w:ind w:right="54" w:hanging="281"/>
      </w:pPr>
      <w:r>
        <w:t xml:space="preserve">Suitable governance arrangements </w:t>
      </w:r>
    </w:p>
    <w:p w14:paraId="6B913AEB" w14:textId="77777777" w:rsidR="00DC18B1" w:rsidRDefault="00DC18B1" w:rsidP="00DC18B1">
      <w:pPr>
        <w:ind w:left="1118" w:right="54" w:firstLine="0"/>
      </w:pPr>
    </w:p>
    <w:p w14:paraId="1169B01B" w14:textId="77777777" w:rsidR="00DC18B1" w:rsidRDefault="00DC18B1" w:rsidP="00DC18B1">
      <w:pPr>
        <w:ind w:right="54"/>
      </w:pPr>
      <w:r>
        <w:t xml:space="preserve"> </w:t>
      </w:r>
      <w:r w:rsidRPr="00DC18B1">
        <w:t>To improve member protection, the Pension Schemes Act 2017 provided for:</w:t>
      </w:r>
    </w:p>
    <w:p w14:paraId="6FA0531F" w14:textId="77777777" w:rsidR="00DC18B1" w:rsidRDefault="00DC18B1" w:rsidP="00DC18B1">
      <w:pPr>
        <w:ind w:right="54"/>
      </w:pPr>
      <w:r w:rsidRPr="00DC18B1">
        <w:t xml:space="preserve"> • an authorisation and supervision regime, requiring Master Trusts to demonstrate to the Pensions Regulator (TPR) that they met certain key criteria </w:t>
      </w:r>
    </w:p>
    <w:p w14:paraId="14E4278A" w14:textId="77777777" w:rsidR="00902471" w:rsidRDefault="00DC18B1" w:rsidP="00DC18B1">
      <w:pPr>
        <w:ind w:right="54"/>
      </w:pPr>
      <w:r w:rsidRPr="00DC18B1">
        <w:t xml:space="preserve">• Trustees to be required to take certain actions to protect scheme members in the event of wind-up </w:t>
      </w:r>
    </w:p>
    <w:p w14:paraId="1EDFC6A7" w14:textId="3BA3C5B3" w:rsidR="00AB054C" w:rsidRDefault="00DC18B1" w:rsidP="00DC18B1">
      <w:pPr>
        <w:ind w:right="54"/>
      </w:pPr>
      <w:r w:rsidRPr="00DC18B1">
        <w:t xml:space="preserve">• TPR to have greater powers to </w:t>
      </w:r>
      <w:proofErr w:type="gramStart"/>
      <w:r w:rsidRPr="00DC18B1">
        <w:t>take action</w:t>
      </w:r>
      <w:proofErr w:type="gramEnd"/>
      <w:r w:rsidRPr="00DC18B1">
        <w:t xml:space="preserve"> where key criteria were not met.</w:t>
      </w:r>
    </w:p>
    <w:p w14:paraId="09D4ABE5" w14:textId="77777777" w:rsidR="00AB054C" w:rsidRDefault="00516D1E">
      <w:pPr>
        <w:spacing w:after="21" w:line="259" w:lineRule="auto"/>
        <w:ind w:left="0" w:firstLine="0"/>
        <w:jc w:val="right"/>
      </w:pPr>
      <w:r>
        <w:t xml:space="preserve"> </w:t>
      </w:r>
    </w:p>
    <w:p w14:paraId="3ED31EA6" w14:textId="656BC4C7" w:rsidR="00AB054C" w:rsidRDefault="00516D1E">
      <w:pPr>
        <w:ind w:right="54"/>
      </w:pPr>
      <w:r>
        <w:t xml:space="preserve">Relevant section of the manual is Part 1 Chapter </w:t>
      </w:r>
      <w:r w:rsidR="00DC18B1">
        <w:t>5.3.2</w:t>
      </w:r>
    </w:p>
    <w:p w14:paraId="444B9175" w14:textId="77777777" w:rsidR="00AB054C" w:rsidRDefault="00516D1E">
      <w:pPr>
        <w:spacing w:after="10" w:line="269" w:lineRule="auto"/>
        <w:ind w:left="7931"/>
      </w:pPr>
      <w:r>
        <w:rPr>
          <w:b/>
        </w:rPr>
        <w:t xml:space="preserve">15 marks </w:t>
      </w:r>
    </w:p>
    <w:p w14:paraId="22181677" w14:textId="77777777" w:rsidR="00AB054C" w:rsidRDefault="00516D1E">
      <w:pPr>
        <w:spacing w:after="0" w:line="259" w:lineRule="auto"/>
        <w:ind w:left="0" w:firstLine="0"/>
        <w:jc w:val="right"/>
      </w:pPr>
      <w:r>
        <w:t xml:space="preserve"> </w:t>
      </w:r>
    </w:p>
    <w:p w14:paraId="1122885C" w14:textId="77777777" w:rsidR="00AB054C" w:rsidRDefault="00516D1E">
      <w:pPr>
        <w:spacing w:after="0" w:line="240" w:lineRule="auto"/>
        <w:ind w:left="0" w:firstLine="0"/>
        <w:jc w:val="right"/>
      </w:pPr>
      <w:r>
        <w:t xml:space="preserve"> </w:t>
      </w:r>
      <w:r>
        <w:rPr>
          <w:b/>
        </w:rPr>
        <w:t xml:space="preserve"> </w:t>
      </w:r>
      <w:r>
        <w:rPr>
          <w:b/>
        </w:rPr>
        <w:tab/>
        <w:t xml:space="preserve"> </w:t>
      </w:r>
    </w:p>
    <w:p w14:paraId="74D5DC94" w14:textId="77777777" w:rsidR="00AB054C" w:rsidRDefault="00516D1E">
      <w:pPr>
        <w:numPr>
          <w:ilvl w:val="0"/>
          <w:numId w:val="2"/>
        </w:numPr>
        <w:spacing w:after="10" w:line="269" w:lineRule="auto"/>
        <w:ind w:hanging="427"/>
      </w:pPr>
      <w:r>
        <w:rPr>
          <w:b/>
        </w:rPr>
        <w:t>Draft some text for inclusion in an article on automatic enrolment for an HR publication which explains the transitional arrangements (both staging and phasing)</w:t>
      </w:r>
      <w:r>
        <w:t xml:space="preserve">. </w:t>
      </w:r>
    </w:p>
    <w:p w14:paraId="4B7C0B95" w14:textId="77777777" w:rsidR="00AB054C" w:rsidRDefault="00516D1E">
      <w:pPr>
        <w:spacing w:after="17" w:line="259" w:lineRule="auto"/>
        <w:ind w:left="360" w:firstLine="0"/>
      </w:pPr>
      <w:r>
        <w:t xml:space="preserve"> </w:t>
      </w:r>
    </w:p>
    <w:p w14:paraId="70D529AB" w14:textId="77777777" w:rsidR="00AB054C" w:rsidRDefault="00516D1E">
      <w:pPr>
        <w:spacing w:after="15" w:line="259" w:lineRule="auto"/>
        <w:ind w:left="10" w:right="67"/>
        <w:jc w:val="right"/>
      </w:pPr>
      <w:r>
        <w:rPr>
          <w:b/>
        </w:rPr>
        <w:t xml:space="preserve">20 marks </w:t>
      </w:r>
    </w:p>
    <w:p w14:paraId="3CAC7D75" w14:textId="77777777" w:rsidR="00AB054C" w:rsidRDefault="00516D1E">
      <w:pPr>
        <w:spacing w:after="14" w:line="259" w:lineRule="auto"/>
        <w:ind w:left="360" w:firstLine="0"/>
      </w:pPr>
      <w:r>
        <w:t xml:space="preserve"> </w:t>
      </w:r>
    </w:p>
    <w:p w14:paraId="4055C08E" w14:textId="77777777" w:rsidR="00AB054C" w:rsidRDefault="00516D1E">
      <w:pPr>
        <w:ind w:right="54"/>
      </w:pPr>
      <w:r>
        <w:t xml:space="preserve">Answer should cover: </w:t>
      </w:r>
    </w:p>
    <w:p w14:paraId="34C8D344" w14:textId="77777777" w:rsidR="00AB054C" w:rsidRDefault="00516D1E">
      <w:pPr>
        <w:spacing w:after="17" w:line="259" w:lineRule="auto"/>
        <w:ind w:left="427" w:firstLine="0"/>
      </w:pPr>
      <w:r>
        <w:t xml:space="preserve"> </w:t>
      </w:r>
    </w:p>
    <w:p w14:paraId="175D9CB7" w14:textId="77777777" w:rsidR="00AB054C" w:rsidRDefault="00516D1E">
      <w:pPr>
        <w:spacing w:after="26"/>
        <w:ind w:right="54"/>
      </w:pPr>
      <w:r>
        <w:t xml:space="preserve">Staging </w:t>
      </w:r>
    </w:p>
    <w:p w14:paraId="7D51D71E" w14:textId="77777777" w:rsidR="00AB054C" w:rsidRDefault="00516D1E">
      <w:pPr>
        <w:numPr>
          <w:ilvl w:val="2"/>
          <w:numId w:val="7"/>
        </w:numPr>
        <w:ind w:right="54" w:hanging="281"/>
      </w:pPr>
      <w:r>
        <w:t xml:space="preserve">Process </w:t>
      </w:r>
    </w:p>
    <w:p w14:paraId="47B69468" w14:textId="77777777" w:rsidR="00AB054C" w:rsidRDefault="00516D1E">
      <w:pPr>
        <w:numPr>
          <w:ilvl w:val="2"/>
          <w:numId w:val="7"/>
        </w:numPr>
        <w:ind w:right="54" w:hanging="281"/>
      </w:pPr>
      <w:r>
        <w:t xml:space="preserve">Staging Date </w:t>
      </w:r>
    </w:p>
    <w:p w14:paraId="42683305" w14:textId="77777777" w:rsidR="00AB054C" w:rsidRDefault="00516D1E">
      <w:pPr>
        <w:numPr>
          <w:ilvl w:val="2"/>
          <w:numId w:val="7"/>
        </w:numPr>
        <w:ind w:right="54" w:hanging="281"/>
      </w:pPr>
      <w:r>
        <w:t xml:space="preserve">Time frame for companies based on PAYE size </w:t>
      </w:r>
    </w:p>
    <w:p w14:paraId="327A2D78" w14:textId="77777777" w:rsidR="00AB054C" w:rsidRDefault="00516D1E">
      <w:pPr>
        <w:numPr>
          <w:ilvl w:val="2"/>
          <w:numId w:val="7"/>
        </w:numPr>
        <w:ind w:right="54" w:hanging="281"/>
      </w:pPr>
      <w:r>
        <w:t xml:space="preserve">1 October 2012 to February 2018 </w:t>
      </w:r>
    </w:p>
    <w:p w14:paraId="142F2897" w14:textId="77777777" w:rsidR="00AB054C" w:rsidRDefault="00516D1E">
      <w:pPr>
        <w:numPr>
          <w:ilvl w:val="2"/>
          <w:numId w:val="7"/>
        </w:numPr>
        <w:ind w:right="54" w:hanging="281"/>
      </w:pPr>
      <w:r>
        <w:t xml:space="preserve">Flexibility to bring forward staging date </w:t>
      </w:r>
    </w:p>
    <w:p w14:paraId="7034F415" w14:textId="77777777" w:rsidR="00AB054C" w:rsidRDefault="00516D1E">
      <w:pPr>
        <w:ind w:right="54"/>
      </w:pPr>
      <w:r>
        <w:t xml:space="preserve">Defined Contribution (DC) Phasing </w:t>
      </w:r>
    </w:p>
    <w:p w14:paraId="3A84B18E" w14:textId="77777777" w:rsidR="00AB054C" w:rsidRDefault="00516D1E">
      <w:pPr>
        <w:numPr>
          <w:ilvl w:val="2"/>
          <w:numId w:val="7"/>
        </w:numPr>
        <w:ind w:right="54" w:hanging="281"/>
      </w:pPr>
      <w:r>
        <w:t xml:space="preserve">Where DC arrangements used minimum contribution requirement will be phased in. </w:t>
      </w:r>
    </w:p>
    <w:p w14:paraId="0F9C6C08" w14:textId="77777777" w:rsidR="00AB054C" w:rsidRDefault="00516D1E">
      <w:pPr>
        <w:numPr>
          <w:ilvl w:val="2"/>
          <w:numId w:val="7"/>
        </w:numPr>
        <w:ind w:right="54" w:hanging="281"/>
      </w:pPr>
      <w:r>
        <w:t xml:space="preserve">Staging Date to 5 April 2018 (initially proposed to be 2016) minimum total contribution will be 2% of band gross earnings (with 1% minimum coming from the employer) </w:t>
      </w:r>
    </w:p>
    <w:p w14:paraId="7EE92168" w14:textId="77777777" w:rsidR="00AB054C" w:rsidRDefault="00516D1E">
      <w:pPr>
        <w:numPr>
          <w:ilvl w:val="2"/>
          <w:numId w:val="7"/>
        </w:numPr>
        <w:ind w:right="54" w:hanging="281"/>
      </w:pPr>
      <w:r>
        <w:t xml:space="preserve">For year 6 April 2018, the minimum rate will be 5% (2% from employer) thereafter full rate of 8% (3% from the employer) applies.  </w:t>
      </w:r>
    </w:p>
    <w:p w14:paraId="50B37CF4" w14:textId="77777777" w:rsidR="00AB054C" w:rsidRDefault="00516D1E">
      <w:pPr>
        <w:spacing w:after="35"/>
        <w:ind w:right="54"/>
      </w:pPr>
      <w:r>
        <w:t xml:space="preserve">Defined Benefit (DB) Phasing </w:t>
      </w:r>
    </w:p>
    <w:p w14:paraId="10CD8552" w14:textId="77777777" w:rsidR="00AB054C" w:rsidRDefault="00516D1E">
      <w:pPr>
        <w:numPr>
          <w:ilvl w:val="2"/>
          <w:numId w:val="7"/>
        </w:numPr>
        <w:ind w:right="54" w:hanging="281"/>
      </w:pPr>
      <w:r>
        <w:t xml:space="preserve">Where DB arrangements used there will be a phasing in period from the company’s staging date to end on 30 September 2017 (originally 2016). </w:t>
      </w:r>
    </w:p>
    <w:p w14:paraId="378044C0" w14:textId="52978327" w:rsidR="00AB054C" w:rsidRDefault="00516D1E">
      <w:pPr>
        <w:numPr>
          <w:ilvl w:val="2"/>
          <w:numId w:val="7"/>
        </w:numPr>
        <w:ind w:right="54" w:hanging="281"/>
      </w:pPr>
      <w:r>
        <w:t xml:space="preserve">During the phasing in period there will be no requirement to automatically </w:t>
      </w:r>
      <w:r w:rsidR="00902471">
        <w:t>enrol</w:t>
      </w:r>
      <w:r>
        <w:t xml:space="preserve"> existing jobholders who have been offered membership of the scheme but declined to join. Any other existing jobholders will however need to be automatically enrolled. </w:t>
      </w:r>
    </w:p>
    <w:p w14:paraId="4EDA48CC" w14:textId="77777777" w:rsidR="00AB054C" w:rsidRDefault="00516D1E">
      <w:pPr>
        <w:numPr>
          <w:ilvl w:val="2"/>
          <w:numId w:val="7"/>
        </w:numPr>
        <w:ind w:right="54" w:hanging="281"/>
      </w:pPr>
      <w:r>
        <w:t xml:space="preserve">All newly hired eligible jobholders must be automatically enrolled with effect from their joining dates. </w:t>
      </w:r>
    </w:p>
    <w:p w14:paraId="2727AC27" w14:textId="77777777" w:rsidR="00AB054C" w:rsidRDefault="00516D1E">
      <w:pPr>
        <w:spacing w:after="24" w:line="259" w:lineRule="auto"/>
        <w:ind w:left="427" w:firstLine="0"/>
      </w:pPr>
      <w:r>
        <w:t xml:space="preserve"> </w:t>
      </w:r>
    </w:p>
    <w:p w14:paraId="3804192E" w14:textId="2DD65D3C" w:rsidR="00AB054C" w:rsidRDefault="00516D1E">
      <w:pPr>
        <w:ind w:right="54"/>
      </w:pPr>
      <w:r>
        <w:t>Relevant section of the manual is Part 1 Chapter 3.2</w:t>
      </w:r>
    </w:p>
    <w:p w14:paraId="1046B85B" w14:textId="77777777" w:rsidR="00AB054C" w:rsidRDefault="00516D1E">
      <w:pPr>
        <w:spacing w:after="15" w:line="259" w:lineRule="auto"/>
        <w:ind w:left="10" w:right="67"/>
        <w:jc w:val="right"/>
      </w:pPr>
      <w:r>
        <w:rPr>
          <w:b/>
        </w:rPr>
        <w:t xml:space="preserve">20 marks </w:t>
      </w:r>
    </w:p>
    <w:p w14:paraId="041B28D8" w14:textId="77777777" w:rsidR="00AB054C" w:rsidRDefault="00516D1E">
      <w:pPr>
        <w:spacing w:after="0" w:line="259" w:lineRule="auto"/>
        <w:ind w:left="0" w:firstLine="0"/>
        <w:jc w:val="right"/>
      </w:pPr>
      <w:r>
        <w:t xml:space="preserve"> </w:t>
      </w:r>
    </w:p>
    <w:p w14:paraId="20FA9946" w14:textId="77777777" w:rsidR="00AB054C" w:rsidRDefault="00516D1E">
      <w:pPr>
        <w:numPr>
          <w:ilvl w:val="0"/>
          <w:numId w:val="2"/>
        </w:numPr>
        <w:spacing w:after="10" w:line="269" w:lineRule="auto"/>
        <w:ind w:hanging="427"/>
      </w:pPr>
      <w:r>
        <w:rPr>
          <w:b/>
        </w:rPr>
        <w:lastRenderedPageBreak/>
        <w:t>Prepare a note for the HR director outlining the principal state benefits payable in old age to those who reached state pension age before 6 April 2016 explaining the circumstances in which they were payable and what changes were implemented from that date</w:t>
      </w:r>
      <w:r>
        <w:t xml:space="preserve">. </w:t>
      </w:r>
    </w:p>
    <w:p w14:paraId="48D6CBC0" w14:textId="77777777" w:rsidR="00AB054C" w:rsidRDefault="00516D1E">
      <w:pPr>
        <w:spacing w:after="14" w:line="259" w:lineRule="auto"/>
        <w:ind w:left="360" w:firstLine="0"/>
      </w:pPr>
      <w:r>
        <w:t xml:space="preserve"> </w:t>
      </w:r>
    </w:p>
    <w:p w14:paraId="73535CDD" w14:textId="77777777" w:rsidR="00AB054C" w:rsidRDefault="00516D1E">
      <w:pPr>
        <w:spacing w:after="15" w:line="259" w:lineRule="auto"/>
        <w:ind w:left="10" w:right="67"/>
        <w:jc w:val="right"/>
      </w:pPr>
      <w:r>
        <w:rPr>
          <w:b/>
        </w:rPr>
        <w:t xml:space="preserve">20 marks </w:t>
      </w:r>
    </w:p>
    <w:p w14:paraId="601E7B80" w14:textId="77777777" w:rsidR="00AB054C" w:rsidRDefault="00516D1E">
      <w:pPr>
        <w:spacing w:after="17" w:line="259" w:lineRule="auto"/>
        <w:ind w:left="360" w:firstLine="0"/>
      </w:pPr>
      <w:r>
        <w:t xml:space="preserve"> </w:t>
      </w:r>
    </w:p>
    <w:p w14:paraId="0C74C907" w14:textId="77777777" w:rsidR="00AB054C" w:rsidRDefault="00516D1E">
      <w:pPr>
        <w:ind w:right="54"/>
      </w:pPr>
      <w:r>
        <w:t xml:space="preserve">Answer should cover: </w:t>
      </w:r>
    </w:p>
    <w:p w14:paraId="7750B7C1" w14:textId="77777777" w:rsidR="00AB054C" w:rsidRDefault="00516D1E">
      <w:pPr>
        <w:spacing w:after="17" w:line="259" w:lineRule="auto"/>
        <w:ind w:left="427" w:firstLine="0"/>
      </w:pPr>
      <w:r>
        <w:t xml:space="preserve"> </w:t>
      </w:r>
    </w:p>
    <w:p w14:paraId="6EA65960" w14:textId="77777777" w:rsidR="00AB054C" w:rsidRDefault="00516D1E">
      <w:pPr>
        <w:ind w:right="54"/>
      </w:pPr>
      <w:r>
        <w:t xml:space="preserve">The principal state benefits payable in old age to those who reached state pension age before 6 April 2016 were the basic state pension and the state second pension. </w:t>
      </w:r>
    </w:p>
    <w:p w14:paraId="7EBFB839" w14:textId="77777777" w:rsidR="00AB054C" w:rsidRDefault="00516D1E">
      <w:pPr>
        <w:spacing w:after="17" w:line="259" w:lineRule="auto"/>
        <w:ind w:left="427" w:firstLine="0"/>
      </w:pPr>
      <w:r>
        <w:t xml:space="preserve"> </w:t>
      </w:r>
    </w:p>
    <w:p w14:paraId="1C0B68C2" w14:textId="77777777" w:rsidR="00AB054C" w:rsidRDefault="00516D1E">
      <w:pPr>
        <w:spacing w:after="26"/>
        <w:ind w:right="54"/>
      </w:pPr>
      <w:r>
        <w:t xml:space="preserve">Basic State Pension (BSP) </w:t>
      </w:r>
    </w:p>
    <w:p w14:paraId="7CBE8C4D" w14:textId="77777777" w:rsidR="00AB054C" w:rsidRDefault="00516D1E">
      <w:pPr>
        <w:numPr>
          <w:ilvl w:val="2"/>
          <w:numId w:val="6"/>
        </w:numPr>
        <w:ind w:right="54" w:hanging="281"/>
      </w:pPr>
      <w:r>
        <w:t xml:space="preserve">Flat rate </w:t>
      </w:r>
    </w:p>
    <w:p w14:paraId="35195E29" w14:textId="77777777" w:rsidR="00AB054C" w:rsidRDefault="00516D1E">
      <w:pPr>
        <w:numPr>
          <w:ilvl w:val="2"/>
          <w:numId w:val="6"/>
        </w:numPr>
        <w:ind w:right="54" w:hanging="281"/>
      </w:pPr>
      <w:r>
        <w:t xml:space="preserve">April 2011 increases in line with triple lock </w:t>
      </w:r>
    </w:p>
    <w:p w14:paraId="293E0BDC" w14:textId="77777777" w:rsidR="00AB054C" w:rsidRDefault="00516D1E">
      <w:pPr>
        <w:numPr>
          <w:ilvl w:val="2"/>
          <w:numId w:val="6"/>
        </w:numPr>
        <w:ind w:right="54" w:hanging="281"/>
      </w:pPr>
      <w:r>
        <w:t xml:space="preserve">Triple lock explanation </w:t>
      </w:r>
    </w:p>
    <w:p w14:paraId="4C59BCE8" w14:textId="77777777" w:rsidR="00AB054C" w:rsidRDefault="00516D1E">
      <w:pPr>
        <w:numPr>
          <w:ilvl w:val="2"/>
          <w:numId w:val="6"/>
        </w:numPr>
        <w:ind w:right="54" w:hanging="281"/>
      </w:pPr>
      <w:r>
        <w:t xml:space="preserve">Triple lock not written into legislation </w:t>
      </w:r>
    </w:p>
    <w:p w14:paraId="29B0DCC9" w14:textId="77777777" w:rsidR="00AB054C" w:rsidRDefault="00516D1E">
      <w:pPr>
        <w:spacing w:after="17" w:line="259" w:lineRule="auto"/>
        <w:ind w:left="1133" w:firstLine="0"/>
      </w:pPr>
      <w:r>
        <w:t xml:space="preserve"> </w:t>
      </w:r>
    </w:p>
    <w:p w14:paraId="0112CFF5" w14:textId="77777777" w:rsidR="00AB054C" w:rsidRDefault="00516D1E">
      <w:pPr>
        <w:ind w:right="54"/>
      </w:pPr>
      <w:r>
        <w:t xml:space="preserve">State Second Pension (S2P) </w:t>
      </w:r>
    </w:p>
    <w:p w14:paraId="49C0A1AD" w14:textId="77777777" w:rsidR="00AB054C" w:rsidRDefault="00516D1E">
      <w:pPr>
        <w:numPr>
          <w:ilvl w:val="2"/>
          <w:numId w:val="6"/>
        </w:numPr>
        <w:ind w:right="54" w:hanging="281"/>
      </w:pPr>
      <w:r>
        <w:t xml:space="preserve">Pensions Act 2007 provided S2P to reduce in two stages </w:t>
      </w:r>
    </w:p>
    <w:p w14:paraId="7E07421C" w14:textId="77777777" w:rsidR="00AB054C" w:rsidRDefault="00516D1E">
      <w:pPr>
        <w:numPr>
          <w:ilvl w:val="2"/>
          <w:numId w:val="6"/>
        </w:numPr>
        <w:ind w:right="54" w:hanging="281"/>
      </w:pPr>
      <w:r>
        <w:t xml:space="preserve">Flat </w:t>
      </w:r>
      <w:proofErr w:type="gramStart"/>
      <w:r>
        <w:t>rate</w:t>
      </w:r>
      <w:proofErr w:type="gramEnd"/>
      <w:r>
        <w:t xml:space="preserve"> top up to BSP by 2030 </w:t>
      </w:r>
    </w:p>
    <w:p w14:paraId="778036C9" w14:textId="77777777" w:rsidR="00AB054C" w:rsidRDefault="00516D1E">
      <w:pPr>
        <w:numPr>
          <w:ilvl w:val="2"/>
          <w:numId w:val="6"/>
        </w:numPr>
        <w:ind w:right="54" w:hanging="281"/>
      </w:pPr>
      <w:r>
        <w:t xml:space="preserve">Replaced by New State Pension  </w:t>
      </w:r>
    </w:p>
    <w:p w14:paraId="0CC2BEB9" w14:textId="77777777" w:rsidR="00AB054C" w:rsidRDefault="00516D1E">
      <w:pPr>
        <w:spacing w:after="0" w:line="259" w:lineRule="auto"/>
        <w:ind w:left="427" w:firstLine="0"/>
      </w:pPr>
      <w:r>
        <w:t xml:space="preserve"> </w:t>
      </w:r>
    </w:p>
    <w:p w14:paraId="261B82DF" w14:textId="77777777" w:rsidR="00AB054C" w:rsidRDefault="00516D1E">
      <w:pPr>
        <w:ind w:right="54"/>
      </w:pPr>
      <w:r>
        <w:t xml:space="preserve">The single-tier New State Pension will apply to those who reach state pension age on or after 6 April 2016. </w:t>
      </w:r>
    </w:p>
    <w:p w14:paraId="08785951" w14:textId="77777777" w:rsidR="00AB054C" w:rsidRDefault="00516D1E">
      <w:pPr>
        <w:spacing w:after="33" w:line="259" w:lineRule="auto"/>
        <w:ind w:left="427" w:firstLine="0"/>
      </w:pPr>
      <w:r>
        <w:t xml:space="preserve"> </w:t>
      </w:r>
    </w:p>
    <w:p w14:paraId="0C0723AA" w14:textId="41094C46" w:rsidR="00AB054C" w:rsidRDefault="00516D1E">
      <w:pPr>
        <w:numPr>
          <w:ilvl w:val="2"/>
          <w:numId w:val="6"/>
        </w:numPr>
        <w:ind w:right="54" w:hanging="281"/>
      </w:pPr>
      <w:r>
        <w:t>£16</w:t>
      </w:r>
      <w:r w:rsidR="001D1B61">
        <w:t>8.60</w:t>
      </w:r>
      <w:r>
        <w:t xml:space="preserve"> 201</w:t>
      </w:r>
      <w:r w:rsidR="001D1B61">
        <w:t>9</w:t>
      </w:r>
      <w:r>
        <w:t>/</w:t>
      </w:r>
      <w:r w:rsidR="001D1B61">
        <w:t>20</w:t>
      </w:r>
      <w:r>
        <w:t xml:space="preserve"> </w:t>
      </w:r>
    </w:p>
    <w:p w14:paraId="08EFDCD2" w14:textId="77777777" w:rsidR="00AB054C" w:rsidRDefault="00516D1E">
      <w:pPr>
        <w:numPr>
          <w:ilvl w:val="2"/>
          <w:numId w:val="6"/>
        </w:numPr>
        <w:ind w:right="54" w:hanging="281"/>
      </w:pPr>
      <w:r>
        <w:t xml:space="preserve">Legislation provides will be increased in line with earnings </w:t>
      </w:r>
    </w:p>
    <w:p w14:paraId="74F71045" w14:textId="77777777" w:rsidR="00AB054C" w:rsidRDefault="00516D1E">
      <w:pPr>
        <w:numPr>
          <w:ilvl w:val="2"/>
          <w:numId w:val="6"/>
        </w:numPr>
        <w:ind w:right="54" w:hanging="281"/>
      </w:pPr>
      <w:r>
        <w:t xml:space="preserve">Current intention triple lock as currently applying to BSP </w:t>
      </w:r>
    </w:p>
    <w:p w14:paraId="034FCEAF" w14:textId="77777777" w:rsidR="00F46C1F" w:rsidRDefault="00516D1E">
      <w:pPr>
        <w:numPr>
          <w:ilvl w:val="2"/>
          <w:numId w:val="6"/>
        </w:numPr>
        <w:ind w:right="54" w:hanging="281"/>
      </w:pPr>
      <w:r>
        <w:t xml:space="preserve">Full rate will require 35 or more “qualifying years” </w:t>
      </w:r>
      <w:r>
        <w:rPr>
          <w:rFonts w:ascii="Courier New" w:eastAsia="Courier New" w:hAnsi="Courier New" w:cs="Courier New"/>
        </w:rPr>
        <w:t>o</w:t>
      </w:r>
      <w:r>
        <w:t xml:space="preserve"> </w:t>
      </w:r>
      <w:r>
        <w:tab/>
      </w:r>
    </w:p>
    <w:p w14:paraId="74568FF5" w14:textId="60A07A13" w:rsidR="00F46C1F" w:rsidRDefault="00516D1E" w:rsidP="00F46C1F">
      <w:pPr>
        <w:numPr>
          <w:ilvl w:val="2"/>
          <w:numId w:val="6"/>
        </w:numPr>
        <w:ind w:right="54" w:hanging="281"/>
      </w:pPr>
      <w:r>
        <w:t xml:space="preserve">proportional for those with between 10 and 35 years  </w:t>
      </w:r>
      <w:r>
        <w:tab/>
      </w:r>
    </w:p>
    <w:p w14:paraId="141C8CDA" w14:textId="24EA2136" w:rsidR="00AB054C" w:rsidRDefault="00F46C1F">
      <w:pPr>
        <w:tabs>
          <w:tab w:val="center" w:pos="1137"/>
          <w:tab w:val="center" w:pos="4740"/>
        </w:tabs>
        <w:spacing w:after="48" w:line="259" w:lineRule="auto"/>
        <w:ind w:left="0" w:firstLine="0"/>
      </w:pPr>
      <w:r>
        <w:t xml:space="preserve">                .    </w:t>
      </w:r>
      <w:r w:rsidR="00516D1E">
        <w:t xml:space="preserve">option to increase amount by paying voluntary national insurance contributions  </w:t>
      </w:r>
    </w:p>
    <w:p w14:paraId="26543DE5" w14:textId="77777777" w:rsidR="00AB054C" w:rsidRDefault="00516D1E">
      <w:pPr>
        <w:numPr>
          <w:ilvl w:val="1"/>
          <w:numId w:val="2"/>
        </w:numPr>
        <w:ind w:right="54" w:hanging="281"/>
      </w:pPr>
      <w:r>
        <w:t xml:space="preserve">Transitional arrangements for those who have built up an entitlement to the basic State Pension and/or S2P at that date – foundation amount. </w:t>
      </w:r>
    </w:p>
    <w:p w14:paraId="08D74499" w14:textId="77777777" w:rsidR="00AB054C" w:rsidRDefault="00516D1E">
      <w:pPr>
        <w:numPr>
          <w:ilvl w:val="1"/>
          <w:numId w:val="2"/>
        </w:numPr>
        <w:ind w:right="54" w:hanging="281"/>
      </w:pPr>
      <w:r>
        <w:t xml:space="preserve">Amount above level of single person guarantee credit </w:t>
      </w:r>
    </w:p>
    <w:p w14:paraId="456F6338" w14:textId="77777777" w:rsidR="00AB054C" w:rsidRDefault="00516D1E">
      <w:pPr>
        <w:numPr>
          <w:ilvl w:val="1"/>
          <w:numId w:val="2"/>
        </w:numPr>
        <w:ind w:right="54" w:hanging="281"/>
      </w:pPr>
      <w:r>
        <w:t xml:space="preserve">Option to defer or suspend payment </w:t>
      </w:r>
    </w:p>
    <w:p w14:paraId="5D3E39AD" w14:textId="77777777" w:rsidR="00AB054C" w:rsidRDefault="00516D1E">
      <w:pPr>
        <w:spacing w:after="17" w:line="259" w:lineRule="auto"/>
        <w:ind w:left="427" w:firstLine="0"/>
      </w:pPr>
      <w:r>
        <w:t xml:space="preserve"> </w:t>
      </w:r>
    </w:p>
    <w:p w14:paraId="373795FD" w14:textId="77777777" w:rsidR="00AB054C" w:rsidRDefault="00516D1E">
      <w:pPr>
        <w:ind w:right="54"/>
      </w:pPr>
      <w:r>
        <w:t xml:space="preserve">With effect from 6 April 2016, there are three categories of State pensioner. </w:t>
      </w:r>
    </w:p>
    <w:p w14:paraId="6A81D337" w14:textId="77777777" w:rsidR="00AB054C" w:rsidRDefault="00516D1E">
      <w:pPr>
        <w:spacing w:after="29" w:line="259" w:lineRule="auto"/>
        <w:ind w:left="1133" w:firstLine="0"/>
      </w:pPr>
      <w:r>
        <w:t xml:space="preserve"> </w:t>
      </w:r>
    </w:p>
    <w:p w14:paraId="1190C9B0" w14:textId="77777777" w:rsidR="00AB054C" w:rsidRDefault="00516D1E">
      <w:pPr>
        <w:numPr>
          <w:ilvl w:val="1"/>
          <w:numId w:val="2"/>
        </w:numPr>
        <w:ind w:right="54" w:hanging="281"/>
      </w:pPr>
      <w:r>
        <w:t xml:space="preserve">Those who reached SPA prior to 6 April 2016. </w:t>
      </w:r>
    </w:p>
    <w:p w14:paraId="7A961D35" w14:textId="77777777" w:rsidR="00AB054C" w:rsidRDefault="00516D1E">
      <w:pPr>
        <w:numPr>
          <w:ilvl w:val="1"/>
          <w:numId w:val="2"/>
        </w:numPr>
        <w:ind w:right="54" w:hanging="281"/>
      </w:pPr>
      <w:r>
        <w:t xml:space="preserve">Those working before 6 April 2016 who will be subject to the transitional arrangements </w:t>
      </w:r>
    </w:p>
    <w:p w14:paraId="6BEB63E7" w14:textId="77777777" w:rsidR="00AB054C" w:rsidRDefault="00516D1E">
      <w:pPr>
        <w:numPr>
          <w:ilvl w:val="1"/>
          <w:numId w:val="2"/>
        </w:numPr>
        <w:ind w:right="54" w:hanging="281"/>
      </w:pPr>
      <w:r>
        <w:t xml:space="preserve">Those who start working on or after 6 April 2016 whose benefits will be calculated by reference to the single-tier pension only. </w:t>
      </w:r>
    </w:p>
    <w:p w14:paraId="40647341" w14:textId="77777777" w:rsidR="00AB054C" w:rsidRDefault="00516D1E">
      <w:pPr>
        <w:spacing w:after="17" w:line="259" w:lineRule="auto"/>
        <w:ind w:left="1133" w:firstLine="0"/>
      </w:pPr>
      <w:r>
        <w:t xml:space="preserve"> </w:t>
      </w:r>
    </w:p>
    <w:p w14:paraId="68A65276" w14:textId="77777777" w:rsidR="00AB054C" w:rsidRDefault="00516D1E">
      <w:pPr>
        <w:spacing w:after="21" w:line="259" w:lineRule="auto"/>
        <w:ind w:left="427" w:firstLine="0"/>
      </w:pPr>
      <w:r>
        <w:t xml:space="preserve"> </w:t>
      </w:r>
    </w:p>
    <w:p w14:paraId="4FB66E81" w14:textId="77777777" w:rsidR="00AB054C" w:rsidRDefault="00516D1E">
      <w:pPr>
        <w:ind w:right="54"/>
      </w:pPr>
      <w:r>
        <w:t xml:space="preserve">Relevant sections of the manual are Part 1 Chapter 1. 2, 2.2.1, 2.2.2 and 2.2.4. </w:t>
      </w:r>
    </w:p>
    <w:p w14:paraId="24BA2B73" w14:textId="77777777" w:rsidR="00AB054C" w:rsidRDefault="00516D1E">
      <w:pPr>
        <w:spacing w:after="10" w:line="269" w:lineRule="auto"/>
        <w:ind w:left="8769" w:hanging="848"/>
      </w:pPr>
      <w:r>
        <w:rPr>
          <w:b/>
        </w:rPr>
        <w:t xml:space="preserve">20 marks </w:t>
      </w:r>
      <w:r>
        <w:t xml:space="preserve"> </w:t>
      </w:r>
    </w:p>
    <w:sectPr w:rsidR="00AB054C">
      <w:footerReference w:type="even" r:id="rId8"/>
      <w:footerReference w:type="default" r:id="rId9"/>
      <w:footerReference w:type="first" r:id="rId10"/>
      <w:pgSz w:w="11906" w:h="16838"/>
      <w:pgMar w:top="611" w:right="1645" w:bottom="1667" w:left="1440" w:header="72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377D" w14:textId="77777777" w:rsidR="004C79EA" w:rsidRDefault="004C79EA">
      <w:pPr>
        <w:spacing w:after="0" w:line="240" w:lineRule="auto"/>
      </w:pPr>
      <w:r>
        <w:separator/>
      </w:r>
    </w:p>
  </w:endnote>
  <w:endnote w:type="continuationSeparator" w:id="0">
    <w:p w14:paraId="2CEB81FA" w14:textId="77777777" w:rsidR="004C79EA" w:rsidRDefault="004C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53FE" w14:textId="77777777" w:rsidR="00AB054C" w:rsidRDefault="00516D1E">
    <w:pPr>
      <w:tabs>
        <w:tab w:val="center" w:pos="5041"/>
        <w:tab w:val="center" w:pos="5761"/>
        <w:tab w:val="center" w:pos="6481"/>
        <w:tab w:val="center" w:pos="7758"/>
      </w:tabs>
      <w:spacing w:after="17" w:line="259" w:lineRule="auto"/>
      <w:ind w:left="0" w:firstLine="0"/>
    </w:pPr>
    <w:r>
      <w:rPr>
        <w:sz w:val="16"/>
      </w:rPr>
      <w:t xml:space="preserve">Taxation, Retail Investment and Pensions Assignment 1 Notes </w:t>
    </w:r>
    <w:r>
      <w:rPr>
        <w:sz w:val="16"/>
      </w:rPr>
      <w:tab/>
      <w:t xml:space="preserve"> </w:t>
    </w:r>
    <w:r>
      <w:rPr>
        <w:sz w:val="16"/>
      </w:rPr>
      <w:tab/>
      <w:t xml:space="preserve"> </w:t>
    </w:r>
    <w:r>
      <w:rPr>
        <w:sz w:val="16"/>
      </w:rPr>
      <w:tab/>
      <w:t xml:space="preserve"> </w:t>
    </w:r>
    <w:r>
      <w:rPr>
        <w:sz w:val="16"/>
      </w:rPr>
      <w:tab/>
      <w:t xml:space="preserve">2018/19 Edition </w:t>
    </w:r>
  </w:p>
  <w:p w14:paraId="48EC3082" w14:textId="77777777" w:rsidR="00AB054C" w:rsidRDefault="00516D1E">
    <w:pPr>
      <w:spacing w:after="0" w:line="259" w:lineRule="auto"/>
      <w:ind w:left="0" w:firstLine="0"/>
    </w:pPr>
    <w:r>
      <w:rPr>
        <w:sz w:val="16"/>
      </w:rPr>
      <w:t xml:space="preserve">© The Pensions Management Institute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B5D5" w14:textId="60EADA03" w:rsidR="00AB054C" w:rsidRDefault="00516D1E">
    <w:pPr>
      <w:tabs>
        <w:tab w:val="center" w:pos="5041"/>
        <w:tab w:val="center" w:pos="5761"/>
        <w:tab w:val="center" w:pos="6481"/>
        <w:tab w:val="center" w:pos="7758"/>
      </w:tabs>
      <w:spacing w:after="17" w:line="259" w:lineRule="auto"/>
      <w:ind w:left="0" w:firstLine="0"/>
    </w:pPr>
    <w:r>
      <w:rPr>
        <w:sz w:val="16"/>
      </w:rPr>
      <w:t xml:space="preserve">Taxation, Retail Investment and Pensions Assignment 1 Notes </w:t>
    </w:r>
    <w:r>
      <w:rPr>
        <w:sz w:val="16"/>
      </w:rPr>
      <w:tab/>
      <w:t xml:space="preserve"> </w:t>
    </w:r>
    <w:r>
      <w:rPr>
        <w:sz w:val="16"/>
      </w:rPr>
      <w:tab/>
      <w:t xml:space="preserve"> </w:t>
    </w:r>
    <w:r>
      <w:rPr>
        <w:sz w:val="16"/>
      </w:rPr>
      <w:tab/>
      <w:t xml:space="preserve"> </w:t>
    </w:r>
    <w:r>
      <w:rPr>
        <w:sz w:val="16"/>
      </w:rPr>
      <w:tab/>
      <w:t>20</w:t>
    </w:r>
    <w:r w:rsidR="00BC454A">
      <w:rPr>
        <w:sz w:val="16"/>
      </w:rPr>
      <w:t>22</w:t>
    </w:r>
    <w:r>
      <w:rPr>
        <w:sz w:val="16"/>
      </w:rPr>
      <w:t>/</w:t>
    </w:r>
    <w:r w:rsidR="00BC454A">
      <w:rPr>
        <w:sz w:val="16"/>
      </w:rPr>
      <w:t>23</w:t>
    </w:r>
    <w:r>
      <w:rPr>
        <w:sz w:val="16"/>
      </w:rPr>
      <w:t xml:space="preserve"> Edition </w:t>
    </w:r>
  </w:p>
  <w:p w14:paraId="0CF67E21" w14:textId="44E6CEAD" w:rsidR="00AB054C" w:rsidRDefault="00516D1E">
    <w:pPr>
      <w:spacing w:after="0" w:line="259" w:lineRule="auto"/>
      <w:ind w:left="0" w:firstLine="0"/>
    </w:pPr>
    <w:r>
      <w:rPr>
        <w:sz w:val="16"/>
      </w:rPr>
      <w:t>© The Pensions Management Institute 20</w:t>
    </w:r>
    <w:r w:rsidR="00BC454A">
      <w:rPr>
        <w:sz w:val="16"/>
      </w:rPr>
      <w:t>23</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9AA7" w14:textId="77777777" w:rsidR="00AB054C" w:rsidRDefault="00516D1E">
    <w:pPr>
      <w:tabs>
        <w:tab w:val="center" w:pos="5041"/>
        <w:tab w:val="center" w:pos="5761"/>
        <w:tab w:val="center" w:pos="6481"/>
        <w:tab w:val="center" w:pos="7758"/>
      </w:tabs>
      <w:spacing w:after="17" w:line="259" w:lineRule="auto"/>
      <w:ind w:left="0" w:firstLine="0"/>
    </w:pPr>
    <w:r>
      <w:rPr>
        <w:sz w:val="16"/>
      </w:rPr>
      <w:t xml:space="preserve">Taxation, Retail Investment and Pensions Assignment 1 Notes </w:t>
    </w:r>
    <w:r>
      <w:rPr>
        <w:sz w:val="16"/>
      </w:rPr>
      <w:tab/>
      <w:t xml:space="preserve"> </w:t>
    </w:r>
    <w:r>
      <w:rPr>
        <w:sz w:val="16"/>
      </w:rPr>
      <w:tab/>
      <w:t xml:space="preserve"> </w:t>
    </w:r>
    <w:r>
      <w:rPr>
        <w:sz w:val="16"/>
      </w:rPr>
      <w:tab/>
      <w:t xml:space="preserve"> </w:t>
    </w:r>
    <w:r>
      <w:rPr>
        <w:sz w:val="16"/>
      </w:rPr>
      <w:tab/>
      <w:t xml:space="preserve">2018/19 Edition </w:t>
    </w:r>
  </w:p>
  <w:p w14:paraId="0BCFC4CC" w14:textId="77777777" w:rsidR="00AB054C" w:rsidRDefault="00516D1E">
    <w:pPr>
      <w:spacing w:after="0" w:line="259" w:lineRule="auto"/>
      <w:ind w:left="0" w:firstLine="0"/>
    </w:pPr>
    <w:r>
      <w:rPr>
        <w:sz w:val="16"/>
      </w:rPr>
      <w:t xml:space="preserve">© The Pensions Management Institute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B766" w14:textId="77777777" w:rsidR="004C79EA" w:rsidRDefault="004C79EA">
      <w:pPr>
        <w:spacing w:after="0" w:line="240" w:lineRule="auto"/>
      </w:pPr>
      <w:r>
        <w:separator/>
      </w:r>
    </w:p>
  </w:footnote>
  <w:footnote w:type="continuationSeparator" w:id="0">
    <w:p w14:paraId="3B5D5877" w14:textId="77777777" w:rsidR="004C79EA" w:rsidRDefault="004C7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201"/>
    <w:multiLevelType w:val="hybridMultilevel"/>
    <w:tmpl w:val="5ADC2B0C"/>
    <w:lvl w:ilvl="0" w:tplc="B562015A">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788B88">
      <w:start w:val="1"/>
      <w:numFmt w:val="bullet"/>
      <w:lvlText w:val="o"/>
      <w:lvlJc w:val="left"/>
      <w:pPr>
        <w:ind w:left="7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210A204">
      <w:start w:val="1"/>
      <w:numFmt w:val="bullet"/>
      <w:lvlRestart w:val="0"/>
      <w:lvlText w:val="•"/>
      <w:lvlJc w:val="left"/>
      <w:pPr>
        <w:ind w:left="11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48813E4">
      <w:start w:val="1"/>
      <w:numFmt w:val="bullet"/>
      <w:lvlText w:val="•"/>
      <w:lvlJc w:val="left"/>
      <w:pPr>
        <w:ind w:left="19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17A923E">
      <w:start w:val="1"/>
      <w:numFmt w:val="bullet"/>
      <w:lvlText w:val="o"/>
      <w:lvlJc w:val="left"/>
      <w:pPr>
        <w:ind w:left="26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3B2B506">
      <w:start w:val="1"/>
      <w:numFmt w:val="bullet"/>
      <w:lvlText w:val="▪"/>
      <w:lvlJc w:val="left"/>
      <w:pPr>
        <w:ind w:left="33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C109826">
      <w:start w:val="1"/>
      <w:numFmt w:val="bullet"/>
      <w:lvlText w:val="•"/>
      <w:lvlJc w:val="left"/>
      <w:pPr>
        <w:ind w:left="40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6469174">
      <w:start w:val="1"/>
      <w:numFmt w:val="bullet"/>
      <w:lvlText w:val="o"/>
      <w:lvlJc w:val="left"/>
      <w:pPr>
        <w:ind w:left="48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72E6064">
      <w:start w:val="1"/>
      <w:numFmt w:val="bullet"/>
      <w:lvlText w:val="▪"/>
      <w:lvlJc w:val="left"/>
      <w:pPr>
        <w:ind w:left="55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4DF7E9E"/>
    <w:multiLevelType w:val="hybridMultilevel"/>
    <w:tmpl w:val="AB765BD4"/>
    <w:lvl w:ilvl="0" w:tplc="3438D48C">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AF0ACE0">
      <w:start w:val="1"/>
      <w:numFmt w:val="bullet"/>
      <w:lvlText w:val="o"/>
      <w:lvlJc w:val="left"/>
      <w:pPr>
        <w:ind w:left="7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13E3C98">
      <w:start w:val="1"/>
      <w:numFmt w:val="bullet"/>
      <w:lvlRestart w:val="0"/>
      <w:lvlText w:val="•"/>
      <w:lvlJc w:val="left"/>
      <w:pPr>
        <w:ind w:left="11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05288EA">
      <w:start w:val="1"/>
      <w:numFmt w:val="bullet"/>
      <w:lvlText w:val="•"/>
      <w:lvlJc w:val="left"/>
      <w:pPr>
        <w:ind w:left="19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76A84FE">
      <w:start w:val="1"/>
      <w:numFmt w:val="bullet"/>
      <w:lvlText w:val="o"/>
      <w:lvlJc w:val="left"/>
      <w:pPr>
        <w:ind w:left="26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D7A0FF0">
      <w:start w:val="1"/>
      <w:numFmt w:val="bullet"/>
      <w:lvlText w:val="▪"/>
      <w:lvlJc w:val="left"/>
      <w:pPr>
        <w:ind w:left="33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D1EA702">
      <w:start w:val="1"/>
      <w:numFmt w:val="bullet"/>
      <w:lvlText w:val="•"/>
      <w:lvlJc w:val="left"/>
      <w:pPr>
        <w:ind w:left="40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E12B8A8">
      <w:start w:val="1"/>
      <w:numFmt w:val="bullet"/>
      <w:lvlText w:val="o"/>
      <w:lvlJc w:val="left"/>
      <w:pPr>
        <w:ind w:left="48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96E5C78">
      <w:start w:val="1"/>
      <w:numFmt w:val="bullet"/>
      <w:lvlText w:val="▪"/>
      <w:lvlJc w:val="left"/>
      <w:pPr>
        <w:ind w:left="55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9E81F54"/>
    <w:multiLevelType w:val="hybridMultilevel"/>
    <w:tmpl w:val="0172AB3C"/>
    <w:lvl w:ilvl="0" w:tplc="96584012">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AD08892">
      <w:start w:val="1"/>
      <w:numFmt w:val="bullet"/>
      <w:lvlText w:val="o"/>
      <w:lvlJc w:val="left"/>
      <w:pPr>
        <w:ind w:left="7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0643F94">
      <w:start w:val="1"/>
      <w:numFmt w:val="bullet"/>
      <w:lvlRestart w:val="0"/>
      <w:lvlText w:val="•"/>
      <w:lvlJc w:val="left"/>
      <w:pPr>
        <w:ind w:left="11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C4837C6">
      <w:start w:val="1"/>
      <w:numFmt w:val="bullet"/>
      <w:lvlText w:val="•"/>
      <w:lvlJc w:val="left"/>
      <w:pPr>
        <w:ind w:left="17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0C7B08">
      <w:start w:val="1"/>
      <w:numFmt w:val="bullet"/>
      <w:lvlText w:val="o"/>
      <w:lvlJc w:val="left"/>
      <w:pPr>
        <w:ind w:left="24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9B20E76">
      <w:start w:val="1"/>
      <w:numFmt w:val="bullet"/>
      <w:lvlText w:val="▪"/>
      <w:lvlJc w:val="left"/>
      <w:pPr>
        <w:ind w:left="32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A844058">
      <w:start w:val="1"/>
      <w:numFmt w:val="bullet"/>
      <w:lvlText w:val="•"/>
      <w:lvlJc w:val="left"/>
      <w:pPr>
        <w:ind w:left="39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50CD980">
      <w:start w:val="1"/>
      <w:numFmt w:val="bullet"/>
      <w:lvlText w:val="o"/>
      <w:lvlJc w:val="left"/>
      <w:pPr>
        <w:ind w:left="46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052E342">
      <w:start w:val="1"/>
      <w:numFmt w:val="bullet"/>
      <w:lvlText w:val="▪"/>
      <w:lvlJc w:val="left"/>
      <w:pPr>
        <w:ind w:left="53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75B7715"/>
    <w:multiLevelType w:val="hybridMultilevel"/>
    <w:tmpl w:val="599C1378"/>
    <w:lvl w:ilvl="0" w:tplc="2A36D790">
      <w:start w:val="5"/>
      <w:numFmt w:val="decimal"/>
      <w:lvlText w:val="%1."/>
      <w:lvlJc w:val="left"/>
      <w:pPr>
        <w:ind w:left="42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3E4DE34">
      <w:start w:val="1"/>
      <w:numFmt w:val="bullet"/>
      <w:lvlText w:val="•"/>
      <w:lvlJc w:val="left"/>
      <w:pPr>
        <w:ind w:left="11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6AE8DDE">
      <w:start w:val="1"/>
      <w:numFmt w:val="bullet"/>
      <w:lvlText w:val="▪"/>
      <w:lvlJc w:val="left"/>
      <w:pPr>
        <w:ind w:left="15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C8A30FC">
      <w:start w:val="1"/>
      <w:numFmt w:val="bullet"/>
      <w:lvlText w:val="•"/>
      <w:lvlJc w:val="left"/>
      <w:pPr>
        <w:ind w:left="22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AA6C77C">
      <w:start w:val="1"/>
      <w:numFmt w:val="bullet"/>
      <w:lvlText w:val="o"/>
      <w:lvlJc w:val="left"/>
      <w:pPr>
        <w:ind w:left="294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60285DC">
      <w:start w:val="1"/>
      <w:numFmt w:val="bullet"/>
      <w:lvlText w:val="▪"/>
      <w:lvlJc w:val="left"/>
      <w:pPr>
        <w:ind w:left="366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A58E216">
      <w:start w:val="1"/>
      <w:numFmt w:val="bullet"/>
      <w:lvlText w:val="•"/>
      <w:lvlJc w:val="left"/>
      <w:pPr>
        <w:ind w:left="43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20AE958">
      <w:start w:val="1"/>
      <w:numFmt w:val="bullet"/>
      <w:lvlText w:val="o"/>
      <w:lvlJc w:val="left"/>
      <w:pPr>
        <w:ind w:left="51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D7A4344">
      <w:start w:val="1"/>
      <w:numFmt w:val="bullet"/>
      <w:lvlText w:val="▪"/>
      <w:lvlJc w:val="left"/>
      <w:pPr>
        <w:ind w:left="582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BFF1D83"/>
    <w:multiLevelType w:val="hybridMultilevel"/>
    <w:tmpl w:val="C2CCC016"/>
    <w:lvl w:ilvl="0" w:tplc="A0B8224E">
      <w:start w:val="1"/>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F2E2F84">
      <w:start w:val="1"/>
      <w:numFmt w:val="bullet"/>
      <w:lvlText w:val="•"/>
      <w:lvlJc w:val="left"/>
      <w:pPr>
        <w:ind w:left="12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AE4DB40">
      <w:start w:val="5"/>
      <w:numFmt w:val="decimal"/>
      <w:lvlText w:val="%3"/>
      <w:lvlJc w:val="left"/>
      <w:pPr>
        <w:ind w:left="171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B1126FB2">
      <w:start w:val="1"/>
      <w:numFmt w:val="decimal"/>
      <w:lvlText w:val="%4"/>
      <w:lvlJc w:val="left"/>
      <w:pPr>
        <w:ind w:left="913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19C9CDA">
      <w:start w:val="1"/>
      <w:numFmt w:val="lowerLetter"/>
      <w:lvlText w:val="%5"/>
      <w:lvlJc w:val="left"/>
      <w:pPr>
        <w:ind w:left="985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CE982884">
      <w:start w:val="1"/>
      <w:numFmt w:val="lowerRoman"/>
      <w:lvlText w:val="%6"/>
      <w:lvlJc w:val="left"/>
      <w:pPr>
        <w:ind w:left="1057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BF0895C">
      <w:start w:val="1"/>
      <w:numFmt w:val="decimal"/>
      <w:lvlText w:val="%7"/>
      <w:lvlJc w:val="left"/>
      <w:pPr>
        <w:ind w:left="1129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2206F64">
      <w:start w:val="1"/>
      <w:numFmt w:val="lowerLetter"/>
      <w:lvlText w:val="%8"/>
      <w:lvlJc w:val="left"/>
      <w:pPr>
        <w:ind w:left="120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028D8B6">
      <w:start w:val="1"/>
      <w:numFmt w:val="lowerRoman"/>
      <w:lvlText w:val="%9"/>
      <w:lvlJc w:val="left"/>
      <w:pPr>
        <w:ind w:left="1273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73BE1CF9"/>
    <w:multiLevelType w:val="hybridMultilevel"/>
    <w:tmpl w:val="897CD364"/>
    <w:lvl w:ilvl="0" w:tplc="2BDAB938">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F408946">
      <w:start w:val="1"/>
      <w:numFmt w:val="bullet"/>
      <w:lvlText w:val="o"/>
      <w:lvlJc w:val="left"/>
      <w:pPr>
        <w:ind w:left="7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9DA0B52">
      <w:start w:val="1"/>
      <w:numFmt w:val="bullet"/>
      <w:lvlRestart w:val="0"/>
      <w:lvlText w:val="•"/>
      <w:lvlJc w:val="left"/>
      <w:pPr>
        <w:ind w:left="11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0440A6C">
      <w:start w:val="1"/>
      <w:numFmt w:val="bullet"/>
      <w:lvlText w:val="•"/>
      <w:lvlJc w:val="left"/>
      <w:pPr>
        <w:ind w:left="18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068D208">
      <w:start w:val="1"/>
      <w:numFmt w:val="bullet"/>
      <w:lvlText w:val="o"/>
      <w:lvlJc w:val="left"/>
      <w:pPr>
        <w:ind w:left="258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3FC2834">
      <w:start w:val="1"/>
      <w:numFmt w:val="bullet"/>
      <w:lvlText w:val="▪"/>
      <w:lvlJc w:val="left"/>
      <w:pPr>
        <w:ind w:left="33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07A92B2">
      <w:start w:val="1"/>
      <w:numFmt w:val="bullet"/>
      <w:lvlText w:val="•"/>
      <w:lvlJc w:val="left"/>
      <w:pPr>
        <w:ind w:left="40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5846876">
      <w:start w:val="1"/>
      <w:numFmt w:val="bullet"/>
      <w:lvlText w:val="o"/>
      <w:lvlJc w:val="left"/>
      <w:pPr>
        <w:ind w:left="474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A06DA9C">
      <w:start w:val="1"/>
      <w:numFmt w:val="bullet"/>
      <w:lvlText w:val="▪"/>
      <w:lvlJc w:val="left"/>
      <w:pPr>
        <w:ind w:left="546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7B343F80"/>
    <w:multiLevelType w:val="hybridMultilevel"/>
    <w:tmpl w:val="C436CD40"/>
    <w:lvl w:ilvl="0" w:tplc="BACA8F92">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65EC2F8">
      <w:start w:val="1"/>
      <w:numFmt w:val="bullet"/>
      <w:lvlText w:val="o"/>
      <w:lvlJc w:val="left"/>
      <w:pPr>
        <w:ind w:left="7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43E89DA">
      <w:start w:val="1"/>
      <w:numFmt w:val="bullet"/>
      <w:lvlRestart w:val="0"/>
      <w:lvlText w:val="•"/>
      <w:lvlJc w:val="left"/>
      <w:pPr>
        <w:ind w:left="11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8E4669E">
      <w:start w:val="1"/>
      <w:numFmt w:val="bullet"/>
      <w:lvlText w:val="•"/>
      <w:lvlJc w:val="left"/>
      <w:pPr>
        <w:ind w:left="19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552083C">
      <w:start w:val="1"/>
      <w:numFmt w:val="bullet"/>
      <w:lvlText w:val="o"/>
      <w:lvlJc w:val="left"/>
      <w:pPr>
        <w:ind w:left="26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A040988">
      <w:start w:val="1"/>
      <w:numFmt w:val="bullet"/>
      <w:lvlText w:val="▪"/>
      <w:lvlJc w:val="left"/>
      <w:pPr>
        <w:ind w:left="33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2FCFCD8">
      <w:start w:val="1"/>
      <w:numFmt w:val="bullet"/>
      <w:lvlText w:val="•"/>
      <w:lvlJc w:val="left"/>
      <w:pPr>
        <w:ind w:left="40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2A92C8">
      <w:start w:val="1"/>
      <w:numFmt w:val="bullet"/>
      <w:lvlText w:val="o"/>
      <w:lvlJc w:val="left"/>
      <w:pPr>
        <w:ind w:left="48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6E004A0">
      <w:start w:val="1"/>
      <w:numFmt w:val="bullet"/>
      <w:lvlText w:val="▪"/>
      <w:lvlJc w:val="left"/>
      <w:pPr>
        <w:ind w:left="55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159887300">
    <w:abstractNumId w:val="4"/>
  </w:num>
  <w:num w:numId="2" w16cid:durableId="504979876">
    <w:abstractNumId w:val="3"/>
  </w:num>
  <w:num w:numId="3" w16cid:durableId="1061905961">
    <w:abstractNumId w:val="1"/>
  </w:num>
  <w:num w:numId="4" w16cid:durableId="1169714439">
    <w:abstractNumId w:val="6"/>
  </w:num>
  <w:num w:numId="5" w16cid:durableId="1000932663">
    <w:abstractNumId w:val="5"/>
  </w:num>
  <w:num w:numId="6" w16cid:durableId="1141507669">
    <w:abstractNumId w:val="2"/>
  </w:num>
  <w:num w:numId="7" w16cid:durableId="85611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4C"/>
    <w:rsid w:val="00160AC7"/>
    <w:rsid w:val="001D1B61"/>
    <w:rsid w:val="00240B66"/>
    <w:rsid w:val="004C79EA"/>
    <w:rsid w:val="00516D1E"/>
    <w:rsid w:val="00670F35"/>
    <w:rsid w:val="0067296D"/>
    <w:rsid w:val="007B2BAF"/>
    <w:rsid w:val="00902471"/>
    <w:rsid w:val="009A2D91"/>
    <w:rsid w:val="00A03DA2"/>
    <w:rsid w:val="00A7629F"/>
    <w:rsid w:val="00AB054C"/>
    <w:rsid w:val="00BC454A"/>
    <w:rsid w:val="00C212C5"/>
    <w:rsid w:val="00DC18B1"/>
    <w:rsid w:val="00E52ACE"/>
    <w:rsid w:val="00F4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0B97"/>
  <w15:docId w15:val="{39B7B5AE-F276-4F92-B863-0572D161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437" w:hanging="10"/>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D91"/>
    <w:pPr>
      <w:ind w:left="720"/>
      <w:contextualSpacing/>
    </w:pPr>
  </w:style>
  <w:style w:type="paragraph" w:styleId="Header">
    <w:name w:val="header"/>
    <w:basedOn w:val="Normal"/>
    <w:link w:val="HeaderChar"/>
    <w:uiPriority w:val="99"/>
    <w:unhideWhenUsed/>
    <w:rsid w:val="00BC4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54A"/>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Ryan Miranda</cp:lastModifiedBy>
  <cp:revision>5</cp:revision>
  <dcterms:created xsi:type="dcterms:W3CDTF">2022-10-31T15:43:00Z</dcterms:created>
  <dcterms:modified xsi:type="dcterms:W3CDTF">2022-11-04T10:47:00Z</dcterms:modified>
</cp:coreProperties>
</file>