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3F4B" w14:textId="4ED5D209" w:rsidR="005F5CC4" w:rsidRDefault="002C3CF9" w:rsidP="002C3CF9">
      <w:pPr>
        <w:spacing w:after="0" w:line="259" w:lineRule="auto"/>
        <w:ind w:left="2880" w:right="-706" w:firstLine="0"/>
      </w:pPr>
      <w:r w:rsidRPr="002662E3">
        <w:rPr>
          <w:noProof/>
        </w:rPr>
        <w:drawing>
          <wp:inline distT="0" distB="0" distL="0" distR="0" wp14:anchorId="7BE7953B" wp14:editId="7E550333">
            <wp:extent cx="2208628" cy="1428742"/>
            <wp:effectExtent l="0" t="0" r="1270" b="635"/>
            <wp:docPr id="4" name="Picture 4"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576" cy="1433883"/>
                    </a:xfrm>
                    <a:prstGeom prst="rect">
                      <a:avLst/>
                    </a:prstGeom>
                  </pic:spPr>
                </pic:pic>
              </a:graphicData>
            </a:graphic>
          </wp:inline>
        </w:drawing>
      </w:r>
    </w:p>
    <w:p w14:paraId="5E34F71C" w14:textId="1CB509B9" w:rsidR="005F5CC4" w:rsidRDefault="005F5CC4">
      <w:pPr>
        <w:spacing w:after="211" w:line="259" w:lineRule="auto"/>
        <w:ind w:left="0" w:firstLine="0"/>
        <w:jc w:val="right"/>
      </w:pPr>
    </w:p>
    <w:p w14:paraId="30F8E702" w14:textId="77777777" w:rsidR="005F5CC4" w:rsidRDefault="001777E6">
      <w:pPr>
        <w:spacing w:after="0" w:line="259" w:lineRule="auto"/>
        <w:ind w:left="0" w:right="54" w:firstLine="0"/>
        <w:jc w:val="center"/>
      </w:pPr>
      <w:r>
        <w:rPr>
          <w:sz w:val="40"/>
        </w:rPr>
        <w:t xml:space="preserve">Taxation, Retail Investment and Pensions </w:t>
      </w:r>
    </w:p>
    <w:p w14:paraId="57C2F88A" w14:textId="77777777" w:rsidR="005F5CC4" w:rsidRDefault="001777E6">
      <w:pPr>
        <w:spacing w:after="129" w:line="259" w:lineRule="auto"/>
        <w:ind w:left="0" w:firstLine="0"/>
        <w:jc w:val="center"/>
      </w:pPr>
      <w:r>
        <w:rPr>
          <w:sz w:val="20"/>
        </w:rPr>
        <w:t xml:space="preserve"> </w:t>
      </w:r>
    </w:p>
    <w:p w14:paraId="6DC5A48A" w14:textId="77777777" w:rsidR="005F5CC4" w:rsidRDefault="001777E6">
      <w:pPr>
        <w:spacing w:after="0" w:line="259" w:lineRule="auto"/>
        <w:ind w:left="0" w:right="56" w:firstLine="0"/>
        <w:jc w:val="center"/>
      </w:pPr>
      <w:r>
        <w:rPr>
          <w:sz w:val="32"/>
        </w:rPr>
        <w:t xml:space="preserve">Assignment 4 </w:t>
      </w:r>
    </w:p>
    <w:p w14:paraId="52463D3D" w14:textId="77777777" w:rsidR="005F5CC4" w:rsidRDefault="001777E6">
      <w:pPr>
        <w:spacing w:after="0" w:line="259" w:lineRule="auto"/>
        <w:ind w:left="0" w:right="52" w:firstLine="0"/>
        <w:jc w:val="center"/>
      </w:pPr>
      <w:r>
        <w:rPr>
          <w:i/>
        </w:rPr>
        <w:t xml:space="preserve">(Part 3 – Investment) </w:t>
      </w:r>
    </w:p>
    <w:p w14:paraId="6BA837C8" w14:textId="77777777" w:rsidR="005F5CC4" w:rsidRDefault="001777E6">
      <w:pPr>
        <w:spacing w:line="259" w:lineRule="auto"/>
        <w:ind w:left="0" w:right="83" w:firstLine="0"/>
        <w:jc w:val="center"/>
      </w:pPr>
      <w:r>
        <w:rPr>
          <w:i/>
          <w:sz w:val="18"/>
        </w:rPr>
        <w:t xml:space="preserve">Recommended Time: 3 Hours </w:t>
      </w:r>
    </w:p>
    <w:p w14:paraId="2F70DFB4" w14:textId="77777777" w:rsidR="005F5CC4" w:rsidRDefault="001777E6">
      <w:pPr>
        <w:spacing w:after="14" w:line="259" w:lineRule="auto"/>
        <w:ind w:left="0" w:right="3" w:firstLine="0"/>
        <w:jc w:val="center"/>
      </w:pPr>
      <w:r>
        <w:t xml:space="preserve"> </w:t>
      </w:r>
    </w:p>
    <w:p w14:paraId="1842D389" w14:textId="77777777" w:rsidR="005F5CC4" w:rsidRDefault="001777E6">
      <w:pPr>
        <w:numPr>
          <w:ilvl w:val="0"/>
          <w:numId w:val="1"/>
        </w:numPr>
        <w:ind w:hanging="427"/>
      </w:pPr>
      <w:r>
        <w:t xml:space="preserve">Describe the attributes of the following asset classes, including their risk profile, how they are traded, and entitlements derived from ownership where appropriate:  </w:t>
      </w:r>
    </w:p>
    <w:p w14:paraId="56B9EBC3" w14:textId="77777777" w:rsidR="005F5CC4" w:rsidRDefault="001777E6">
      <w:pPr>
        <w:spacing w:after="14" w:line="259" w:lineRule="auto"/>
        <w:ind w:left="7201" w:firstLine="0"/>
      </w:pPr>
      <w:r>
        <w:t xml:space="preserve"> </w:t>
      </w:r>
    </w:p>
    <w:p w14:paraId="35966C23" w14:textId="77777777" w:rsidR="005F5CC4" w:rsidRDefault="001777E6">
      <w:pPr>
        <w:numPr>
          <w:ilvl w:val="1"/>
          <w:numId w:val="2"/>
        </w:numPr>
        <w:ind w:right="2476" w:firstLine="0"/>
      </w:pPr>
      <w:r>
        <w:t xml:space="preserve">Equities - UK and Overseas  </w:t>
      </w:r>
      <w:r>
        <w:tab/>
        <w:t xml:space="preserve"> </w:t>
      </w:r>
      <w:r>
        <w:tab/>
        <w:t xml:space="preserve"> </w:t>
      </w:r>
      <w:r>
        <w:tab/>
        <w:t xml:space="preserve"> </w:t>
      </w:r>
      <w:r>
        <w:tab/>
        <w:t xml:space="preserve"> </w:t>
      </w:r>
      <w:r>
        <w:tab/>
        <w:t xml:space="preserve"> </w:t>
      </w:r>
    </w:p>
    <w:p w14:paraId="66BF3B73" w14:textId="77777777" w:rsidR="005F5CC4" w:rsidRDefault="001777E6">
      <w:pPr>
        <w:numPr>
          <w:ilvl w:val="1"/>
          <w:numId w:val="2"/>
        </w:numPr>
        <w:spacing w:after="1" w:line="276" w:lineRule="auto"/>
        <w:ind w:right="2476" w:firstLine="0"/>
      </w:pPr>
      <w:r>
        <w:t xml:space="preserve">Bonds - Government and </w:t>
      </w:r>
      <w:proofErr w:type="gramStart"/>
      <w:r>
        <w:t>Corporate  (</w:t>
      </w:r>
      <w:proofErr w:type="gramEnd"/>
      <w:r>
        <w:t xml:space="preserve">iii) Commercial Property (iv) Cash. </w:t>
      </w:r>
    </w:p>
    <w:p w14:paraId="5158A895" w14:textId="77777777" w:rsidR="005F5CC4" w:rsidRDefault="001777E6">
      <w:pPr>
        <w:tabs>
          <w:tab w:val="center" w:pos="744"/>
          <w:tab w:val="center" w:pos="1464"/>
          <w:tab w:val="center" w:pos="2184"/>
          <w:tab w:val="center" w:pos="2905"/>
          <w:tab w:val="center" w:pos="3625"/>
          <w:tab w:val="center" w:pos="4345"/>
          <w:tab w:val="center" w:pos="5065"/>
          <w:tab w:val="center" w:pos="5785"/>
          <w:tab w:val="center" w:pos="6505"/>
          <w:tab w:val="center" w:pos="7225"/>
          <w:tab w:val="right" w:pos="8821"/>
        </w:tabs>
        <w:spacing w:after="15" w:line="265" w:lineRule="auto"/>
        <w:ind w:left="0" w:firstLine="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rPr>
          <w:b/>
        </w:rPr>
        <w:t xml:space="preserve">20 marks </w:t>
      </w:r>
    </w:p>
    <w:p w14:paraId="514834FE" w14:textId="77777777" w:rsidR="005F5CC4" w:rsidRDefault="001777E6">
      <w:pPr>
        <w:spacing w:after="14" w:line="259" w:lineRule="auto"/>
        <w:ind w:left="0" w:firstLine="0"/>
        <w:jc w:val="right"/>
      </w:pPr>
      <w:r>
        <w:rPr>
          <w:b/>
        </w:rPr>
        <w:t xml:space="preserve"> </w:t>
      </w:r>
    </w:p>
    <w:p w14:paraId="5A25DE72" w14:textId="77777777" w:rsidR="005F5CC4" w:rsidRDefault="001777E6">
      <w:pPr>
        <w:numPr>
          <w:ilvl w:val="0"/>
          <w:numId w:val="1"/>
        </w:numPr>
        <w:ind w:hanging="427"/>
      </w:pPr>
      <w:r>
        <w:t xml:space="preserve">Explain the main features of each stage of a typical economic cycle. </w:t>
      </w:r>
    </w:p>
    <w:p w14:paraId="79D3A403" w14:textId="77777777" w:rsidR="005F5CC4" w:rsidRDefault="001777E6">
      <w:pPr>
        <w:spacing w:after="15" w:line="265" w:lineRule="auto"/>
        <w:ind w:right="17"/>
        <w:jc w:val="right"/>
      </w:pPr>
      <w:r>
        <w:rPr>
          <w:b/>
        </w:rPr>
        <w:t xml:space="preserve">5 marks </w:t>
      </w:r>
    </w:p>
    <w:p w14:paraId="4747F6CF" w14:textId="77777777" w:rsidR="005F5CC4" w:rsidRDefault="001777E6">
      <w:pPr>
        <w:spacing w:after="15" w:line="259" w:lineRule="auto"/>
        <w:ind w:left="0" w:firstLine="0"/>
      </w:pPr>
      <w:r>
        <w:t xml:space="preserve"> </w:t>
      </w:r>
    </w:p>
    <w:p w14:paraId="2ED43672" w14:textId="77777777" w:rsidR="005F5CC4" w:rsidRDefault="001777E6">
      <w:pPr>
        <w:numPr>
          <w:ilvl w:val="0"/>
          <w:numId w:val="1"/>
        </w:numPr>
        <w:ind w:hanging="427"/>
      </w:pPr>
      <w:r>
        <w:t>Explain the characteristics of multi manager funds and compare them with a wrap.</w:t>
      </w:r>
      <w:r>
        <w:rPr>
          <w:b/>
        </w:rPr>
        <w:t xml:space="preserve"> </w:t>
      </w:r>
    </w:p>
    <w:p w14:paraId="1E3985B0" w14:textId="77777777" w:rsidR="005F5CC4" w:rsidRDefault="001777E6">
      <w:pPr>
        <w:tabs>
          <w:tab w:val="center" w:pos="744"/>
          <w:tab w:val="center" w:pos="1464"/>
          <w:tab w:val="center" w:pos="2184"/>
          <w:tab w:val="center" w:pos="2905"/>
          <w:tab w:val="center" w:pos="3625"/>
          <w:tab w:val="center" w:pos="4345"/>
          <w:tab w:val="center" w:pos="5065"/>
          <w:tab w:val="center" w:pos="5785"/>
          <w:tab w:val="center" w:pos="6505"/>
          <w:tab w:val="center" w:pos="7225"/>
          <w:tab w:val="right" w:pos="8821"/>
        </w:tabs>
        <w:spacing w:after="15" w:line="265" w:lineRule="auto"/>
        <w:ind w:left="0" w:firstLine="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rPr>
          <w:b/>
        </w:rPr>
        <w:t xml:space="preserve">20 marks </w:t>
      </w:r>
    </w:p>
    <w:p w14:paraId="1FCA7559" w14:textId="77777777" w:rsidR="005F5CC4" w:rsidRDefault="001777E6">
      <w:pPr>
        <w:spacing w:after="17" w:line="259" w:lineRule="auto"/>
        <w:ind w:left="0" w:firstLine="0"/>
      </w:pPr>
      <w:r>
        <w:t xml:space="preserve"> </w:t>
      </w:r>
    </w:p>
    <w:p w14:paraId="3504AAF4" w14:textId="77777777" w:rsidR="005F5CC4" w:rsidRDefault="001777E6">
      <w:pPr>
        <w:numPr>
          <w:ilvl w:val="0"/>
          <w:numId w:val="1"/>
        </w:numPr>
        <w:ind w:hanging="427"/>
      </w:pPr>
      <w:r>
        <w:t xml:space="preserve">Absolute return funds have become an area of growing industry focus and debate, and one of your colleagues has asked you to pull together an overview describing their characteristics, three methods they employ to achieve their objectives, and their potential benefits. Prepare this overview in the form of a briefing note which would also be suitable to issue to clients. </w:t>
      </w:r>
    </w:p>
    <w:p w14:paraId="0F1F2165" w14:textId="77777777" w:rsidR="005F5CC4" w:rsidRDefault="001777E6">
      <w:pPr>
        <w:spacing w:after="15" w:line="265" w:lineRule="auto"/>
        <w:ind w:right="17"/>
        <w:jc w:val="right"/>
      </w:pPr>
      <w:r>
        <w:rPr>
          <w:b/>
        </w:rPr>
        <w:t xml:space="preserve">20 marks </w:t>
      </w:r>
    </w:p>
    <w:p w14:paraId="3850CF7F" w14:textId="77777777" w:rsidR="005F5CC4" w:rsidRDefault="001777E6">
      <w:pPr>
        <w:spacing w:after="0" w:line="259" w:lineRule="auto"/>
        <w:ind w:left="0" w:firstLine="0"/>
      </w:pPr>
      <w:r>
        <w:rPr>
          <w:b/>
        </w:rPr>
        <w:t xml:space="preserve"> </w:t>
      </w:r>
    </w:p>
    <w:p w14:paraId="0F3510A2" w14:textId="77777777" w:rsidR="005F5CC4" w:rsidRDefault="001777E6">
      <w:pPr>
        <w:numPr>
          <w:ilvl w:val="0"/>
          <w:numId w:val="1"/>
        </w:numPr>
        <w:ind w:hanging="427"/>
      </w:pPr>
      <w:r>
        <w:t xml:space="preserve">Prepare a short note for a client that outlines the features of: </w:t>
      </w:r>
    </w:p>
    <w:p w14:paraId="01CBD3FF" w14:textId="77777777" w:rsidR="005F5CC4" w:rsidRDefault="001777E6">
      <w:pPr>
        <w:spacing w:after="14" w:line="259" w:lineRule="auto"/>
        <w:ind w:left="0" w:firstLine="0"/>
      </w:pPr>
      <w:r>
        <w:t xml:space="preserve"> </w:t>
      </w:r>
    </w:p>
    <w:p w14:paraId="03909982" w14:textId="77777777" w:rsidR="005F5CC4" w:rsidRDefault="001777E6">
      <w:pPr>
        <w:numPr>
          <w:ilvl w:val="1"/>
          <w:numId w:val="1"/>
        </w:numPr>
        <w:spacing w:after="0"/>
        <w:ind w:hanging="425"/>
      </w:pPr>
      <w:r>
        <w:t xml:space="preserve">Individual Savings Accounts (ISAs); (b) Lifetime ISAs and </w:t>
      </w:r>
    </w:p>
    <w:p w14:paraId="5D5DC8B9" w14:textId="77777777" w:rsidR="005F5CC4" w:rsidRDefault="001777E6">
      <w:pPr>
        <w:ind w:left="370"/>
      </w:pPr>
      <w:r>
        <w:t xml:space="preserve">(c) Exchange Traded Funds. </w:t>
      </w:r>
    </w:p>
    <w:p w14:paraId="451AEC29" w14:textId="618D1198" w:rsidR="005F5CC4" w:rsidRDefault="001777E6" w:rsidP="00C95E0F">
      <w:pPr>
        <w:spacing w:after="14" w:line="259" w:lineRule="auto"/>
        <w:ind w:left="0" w:firstLine="0"/>
      </w:pPr>
      <w:r>
        <w:rPr>
          <w:b/>
        </w:rPr>
        <w:t xml:space="preserve"> </w:t>
      </w:r>
      <w:r w:rsidR="00C95E0F">
        <w:rPr>
          <w:b/>
        </w:rPr>
        <w:tab/>
      </w:r>
      <w:r w:rsidR="00C95E0F">
        <w:rPr>
          <w:b/>
        </w:rPr>
        <w:tab/>
      </w:r>
      <w:r w:rsidR="00C95E0F">
        <w:rPr>
          <w:b/>
        </w:rPr>
        <w:tab/>
      </w:r>
      <w:r w:rsidR="00C95E0F">
        <w:rPr>
          <w:b/>
        </w:rPr>
        <w:tab/>
      </w:r>
      <w:r w:rsidR="00C95E0F">
        <w:rPr>
          <w:b/>
        </w:rPr>
        <w:tab/>
      </w:r>
      <w:r w:rsidR="00C95E0F">
        <w:rPr>
          <w:b/>
        </w:rPr>
        <w:tab/>
      </w:r>
      <w:r w:rsidR="00C95E0F">
        <w:rPr>
          <w:b/>
        </w:rPr>
        <w:tab/>
      </w:r>
      <w:r w:rsidR="00C95E0F">
        <w:rPr>
          <w:b/>
        </w:rPr>
        <w:tab/>
      </w:r>
      <w:r w:rsidR="00C95E0F">
        <w:rPr>
          <w:b/>
        </w:rPr>
        <w:tab/>
      </w:r>
      <w:r w:rsidR="00C95E0F">
        <w:rPr>
          <w:b/>
        </w:rPr>
        <w:tab/>
      </w:r>
      <w:r w:rsidR="00C95E0F">
        <w:rPr>
          <w:b/>
        </w:rPr>
        <w:tab/>
      </w:r>
      <w:r>
        <w:rPr>
          <w:b/>
        </w:rPr>
        <w:t xml:space="preserve">15 marks </w:t>
      </w:r>
    </w:p>
    <w:p w14:paraId="34E2C706" w14:textId="77777777" w:rsidR="005F5CC4" w:rsidRDefault="001777E6">
      <w:pPr>
        <w:numPr>
          <w:ilvl w:val="0"/>
          <w:numId w:val="1"/>
        </w:numPr>
        <w:ind w:hanging="427"/>
      </w:pPr>
      <w:r>
        <w:t xml:space="preserve">For a typical economic cycle: </w:t>
      </w:r>
    </w:p>
    <w:p w14:paraId="7AF9FAC2" w14:textId="77777777" w:rsidR="005F5CC4" w:rsidRDefault="001777E6">
      <w:pPr>
        <w:spacing w:after="14" w:line="259" w:lineRule="auto"/>
        <w:ind w:left="720" w:firstLine="0"/>
      </w:pPr>
      <w:r>
        <w:t xml:space="preserve"> </w:t>
      </w:r>
    </w:p>
    <w:p w14:paraId="6315CC8D" w14:textId="77777777" w:rsidR="005F5CC4" w:rsidRDefault="001777E6">
      <w:pPr>
        <w:numPr>
          <w:ilvl w:val="1"/>
          <w:numId w:val="1"/>
        </w:numPr>
        <w:spacing w:after="0"/>
        <w:ind w:hanging="425"/>
      </w:pPr>
      <w:r>
        <w:t xml:space="preserve">Explain how the different stages of an economic cycle might be identified by inflation and exchange rate data and other economic indicators; and  </w:t>
      </w:r>
    </w:p>
    <w:p w14:paraId="56552299" w14:textId="77777777" w:rsidR="005F5CC4" w:rsidRDefault="001777E6">
      <w:pPr>
        <w:numPr>
          <w:ilvl w:val="1"/>
          <w:numId w:val="1"/>
        </w:numPr>
        <w:ind w:hanging="425"/>
      </w:pPr>
      <w:r>
        <w:t xml:space="preserve">Describe how fiscal and monetary policy might be used by governments within each stage. </w:t>
      </w:r>
    </w:p>
    <w:p w14:paraId="1B1D3E92" w14:textId="77777777" w:rsidR="005F5CC4" w:rsidRDefault="001777E6">
      <w:pPr>
        <w:spacing w:after="17" w:line="259" w:lineRule="auto"/>
        <w:ind w:left="0" w:firstLine="0"/>
      </w:pPr>
      <w:r>
        <w:rPr>
          <w:b/>
        </w:rPr>
        <w:t xml:space="preserve"> </w:t>
      </w:r>
    </w:p>
    <w:p w14:paraId="4BF62B99" w14:textId="77777777" w:rsidR="005F5CC4" w:rsidRDefault="001777E6">
      <w:pPr>
        <w:spacing w:after="15" w:line="265" w:lineRule="auto"/>
        <w:ind w:right="17"/>
        <w:jc w:val="right"/>
      </w:pPr>
      <w:r>
        <w:rPr>
          <w:b/>
        </w:rPr>
        <w:t xml:space="preserve">10 marks </w:t>
      </w:r>
    </w:p>
    <w:p w14:paraId="3DF36E24" w14:textId="77777777" w:rsidR="005F5CC4" w:rsidRDefault="001777E6">
      <w:pPr>
        <w:spacing w:after="14" w:line="259" w:lineRule="auto"/>
        <w:ind w:left="0" w:firstLine="0"/>
      </w:pPr>
      <w:r>
        <w:t xml:space="preserve"> </w:t>
      </w:r>
    </w:p>
    <w:p w14:paraId="3ED52196" w14:textId="77777777" w:rsidR="005F5CC4" w:rsidRDefault="001777E6">
      <w:pPr>
        <w:numPr>
          <w:ilvl w:val="0"/>
          <w:numId w:val="1"/>
        </w:numPr>
        <w:ind w:hanging="427"/>
      </w:pPr>
      <w:r>
        <w:t xml:space="preserve">Describe the Seed Enterprise Investment Scheme (SEIS) and the main tax saving features for an SEIS. </w:t>
      </w:r>
    </w:p>
    <w:p w14:paraId="02AAE099" w14:textId="0468BB00" w:rsidR="005F5CC4" w:rsidRDefault="001777E6" w:rsidP="00C95E0F">
      <w:pPr>
        <w:spacing w:after="17" w:line="259" w:lineRule="auto"/>
        <w:ind w:left="427" w:firstLine="0"/>
      </w:pPr>
      <w:r>
        <w:t xml:space="preserve"> </w:t>
      </w:r>
      <w:r w:rsidR="00C95E0F">
        <w:tab/>
      </w:r>
      <w:r w:rsidR="00C95E0F">
        <w:tab/>
      </w:r>
      <w:r w:rsidR="00C95E0F">
        <w:tab/>
      </w:r>
      <w:r w:rsidR="00C95E0F">
        <w:tab/>
      </w:r>
      <w:r w:rsidR="00C95E0F">
        <w:tab/>
      </w:r>
      <w:r w:rsidR="00C95E0F">
        <w:tab/>
      </w:r>
      <w:r w:rsidR="00C95E0F">
        <w:tab/>
      </w:r>
      <w:r w:rsidR="00C95E0F">
        <w:tab/>
      </w:r>
      <w:r w:rsidR="00C95E0F">
        <w:tab/>
      </w:r>
      <w:r w:rsidR="00C95E0F">
        <w:tab/>
      </w:r>
      <w:r w:rsidR="00C95E0F">
        <w:tab/>
      </w:r>
      <w:r>
        <w:rPr>
          <w:b/>
        </w:rPr>
        <w:t xml:space="preserve">10 marks </w:t>
      </w:r>
    </w:p>
    <w:p w14:paraId="47452FB4" w14:textId="55B9CCD6" w:rsidR="005F5CC4" w:rsidRDefault="001777E6" w:rsidP="002C3CF9">
      <w:pPr>
        <w:spacing w:after="14" w:line="259" w:lineRule="auto"/>
        <w:ind w:left="-5"/>
      </w:pPr>
      <w:r>
        <w:rPr>
          <w:sz w:val="16"/>
        </w:rPr>
        <w:t xml:space="preserve"> </w:t>
      </w:r>
    </w:p>
    <w:sectPr w:rsidR="005F5CC4">
      <w:footerReference w:type="default" r:id="rId8"/>
      <w:pgSz w:w="11906" w:h="16838"/>
      <w:pgMar w:top="1134" w:right="164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5230" w14:textId="77777777" w:rsidR="002C3CF9" w:rsidRDefault="002C3CF9" w:rsidP="002C3CF9">
      <w:pPr>
        <w:spacing w:after="0" w:line="240" w:lineRule="auto"/>
      </w:pPr>
      <w:r>
        <w:separator/>
      </w:r>
    </w:p>
  </w:endnote>
  <w:endnote w:type="continuationSeparator" w:id="0">
    <w:p w14:paraId="113F5DE1" w14:textId="77777777" w:rsidR="002C3CF9" w:rsidRDefault="002C3CF9" w:rsidP="002C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812E" w14:textId="77777777" w:rsidR="002C3CF9" w:rsidRDefault="002C3CF9" w:rsidP="002C3CF9">
    <w:pPr>
      <w:tabs>
        <w:tab w:val="center" w:pos="4321"/>
        <w:tab w:val="center" w:pos="5041"/>
        <w:tab w:val="center" w:pos="5761"/>
        <w:tab w:val="center" w:pos="6481"/>
        <w:tab w:val="center" w:pos="7758"/>
      </w:tabs>
      <w:spacing w:after="14" w:line="259" w:lineRule="auto"/>
      <w:ind w:left="-15" w:firstLine="0"/>
    </w:pPr>
    <w:r>
      <w:rPr>
        <w:sz w:val="16"/>
      </w:rPr>
      <w:t xml:space="preserve">Taxation, Retail Investment and Pensions Assignment 4 </w:t>
    </w:r>
    <w:r>
      <w:rPr>
        <w:sz w:val="16"/>
      </w:rPr>
      <w:tab/>
      <w:t xml:space="preserve"> </w:t>
    </w:r>
    <w:r>
      <w:rPr>
        <w:sz w:val="16"/>
      </w:rPr>
      <w:tab/>
      <w:t xml:space="preserve"> </w:t>
    </w:r>
    <w:r>
      <w:rPr>
        <w:sz w:val="16"/>
      </w:rPr>
      <w:tab/>
      <w:t xml:space="preserve"> </w:t>
    </w:r>
    <w:r>
      <w:rPr>
        <w:sz w:val="16"/>
      </w:rPr>
      <w:tab/>
      <w:t xml:space="preserve"> </w:t>
    </w:r>
    <w:r>
      <w:rPr>
        <w:sz w:val="16"/>
      </w:rPr>
      <w:tab/>
      <w:t xml:space="preserve">2022/23 Edition </w:t>
    </w:r>
  </w:p>
  <w:p w14:paraId="292E6B3B" w14:textId="59E88C0A" w:rsidR="002C3CF9" w:rsidRDefault="002C3CF9" w:rsidP="002C3CF9">
    <w:pPr>
      <w:pStyle w:val="Footer"/>
    </w:pPr>
    <w:r>
      <w:rPr>
        <w:sz w:val="16"/>
      </w:rPr>
      <w:t>© The Pensions Management Institute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CF93" w14:textId="77777777" w:rsidR="002C3CF9" w:rsidRDefault="002C3CF9" w:rsidP="002C3CF9">
      <w:pPr>
        <w:spacing w:after="0" w:line="240" w:lineRule="auto"/>
      </w:pPr>
      <w:r>
        <w:separator/>
      </w:r>
    </w:p>
  </w:footnote>
  <w:footnote w:type="continuationSeparator" w:id="0">
    <w:p w14:paraId="314D4B23" w14:textId="77777777" w:rsidR="002C3CF9" w:rsidRDefault="002C3CF9" w:rsidP="002C3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B34E5"/>
    <w:multiLevelType w:val="hybridMultilevel"/>
    <w:tmpl w:val="C8E214C0"/>
    <w:lvl w:ilvl="0" w:tplc="82E88E66">
      <w:start w:val="1"/>
      <w:numFmt w:val="decimal"/>
      <w:lvlText w:val="%1."/>
      <w:lvlJc w:val="left"/>
      <w:pPr>
        <w:ind w:left="42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7D80846">
      <w:start w:val="1"/>
      <w:numFmt w:val="lowerLetter"/>
      <w:lvlText w:val="(%2)"/>
      <w:lvlJc w:val="left"/>
      <w:pPr>
        <w:ind w:left="8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3841BF2">
      <w:start w:val="1"/>
      <w:numFmt w:val="lowerRoman"/>
      <w:lvlText w:val="%3"/>
      <w:lvlJc w:val="left"/>
      <w:pPr>
        <w:ind w:left="1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5A8CD90">
      <w:start w:val="1"/>
      <w:numFmt w:val="decimal"/>
      <w:lvlText w:val="%4"/>
      <w:lvlJc w:val="left"/>
      <w:pPr>
        <w:ind w:left="21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8D21294">
      <w:start w:val="1"/>
      <w:numFmt w:val="lowerLetter"/>
      <w:lvlText w:val="%5"/>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0A64BC4">
      <w:start w:val="1"/>
      <w:numFmt w:val="lowerRoman"/>
      <w:lvlText w:val="%6"/>
      <w:lvlJc w:val="left"/>
      <w:pPr>
        <w:ind w:left="36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09E9E34">
      <w:start w:val="1"/>
      <w:numFmt w:val="decimal"/>
      <w:lvlText w:val="%7"/>
      <w:lvlJc w:val="left"/>
      <w:pPr>
        <w:ind w:left="43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0D4FF62">
      <w:start w:val="1"/>
      <w:numFmt w:val="lowerLetter"/>
      <w:lvlText w:val="%8"/>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73697D2">
      <w:start w:val="1"/>
      <w:numFmt w:val="lowerRoman"/>
      <w:lvlText w:val="%9"/>
      <w:lvlJc w:val="left"/>
      <w:pPr>
        <w:ind w:left="57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74047CAD"/>
    <w:multiLevelType w:val="hybridMultilevel"/>
    <w:tmpl w:val="B0343A1E"/>
    <w:lvl w:ilvl="0" w:tplc="1A9C4F08">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69EA064">
      <w:start w:val="1"/>
      <w:numFmt w:val="lowerRoman"/>
      <w:lvlText w:val="(%2)"/>
      <w:lvlJc w:val="left"/>
      <w:pPr>
        <w:ind w:left="4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9780DEC">
      <w:start w:val="1"/>
      <w:numFmt w:val="lowerRoman"/>
      <w:lvlText w:val="%3"/>
      <w:lvlJc w:val="left"/>
      <w:pPr>
        <w:ind w:left="15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F662ADE">
      <w:start w:val="1"/>
      <w:numFmt w:val="decimal"/>
      <w:lvlText w:val="%4"/>
      <w:lvlJc w:val="left"/>
      <w:pPr>
        <w:ind w:left="22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1AEC624">
      <w:start w:val="1"/>
      <w:numFmt w:val="lowerLetter"/>
      <w:lvlText w:val="%5"/>
      <w:lvlJc w:val="left"/>
      <w:pPr>
        <w:ind w:left="29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7861332">
      <w:start w:val="1"/>
      <w:numFmt w:val="lowerRoman"/>
      <w:lvlText w:val="%6"/>
      <w:lvlJc w:val="left"/>
      <w:pPr>
        <w:ind w:left="36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30C5860">
      <w:start w:val="1"/>
      <w:numFmt w:val="decimal"/>
      <w:lvlText w:val="%7"/>
      <w:lvlJc w:val="left"/>
      <w:pPr>
        <w:ind w:left="43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9DA6FA4">
      <w:start w:val="1"/>
      <w:numFmt w:val="lowerLetter"/>
      <w:lvlText w:val="%8"/>
      <w:lvlJc w:val="left"/>
      <w:pPr>
        <w:ind w:left="51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872A50E">
      <w:start w:val="1"/>
      <w:numFmt w:val="lowerRoman"/>
      <w:lvlText w:val="%9"/>
      <w:lvlJc w:val="left"/>
      <w:pPr>
        <w:ind w:left="58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394161487">
    <w:abstractNumId w:val="0"/>
  </w:num>
  <w:num w:numId="2" w16cid:durableId="213995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C4"/>
    <w:rsid w:val="001777E6"/>
    <w:rsid w:val="002C3CF9"/>
    <w:rsid w:val="005F5CC4"/>
    <w:rsid w:val="00A10A64"/>
    <w:rsid w:val="00C9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2ADE"/>
  <w15:docId w15:val="{8D99E793-F9DD-42B8-A47B-8BBA5BA3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50" w:lineRule="auto"/>
      <w:ind w:left="10" w:hanging="10"/>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F9"/>
    <w:rPr>
      <w:rFonts w:ascii="Arial" w:eastAsia="Arial" w:hAnsi="Arial" w:cs="Arial"/>
      <w:color w:val="000000"/>
      <w:sz w:val="19"/>
    </w:rPr>
  </w:style>
  <w:style w:type="paragraph" w:styleId="Footer">
    <w:name w:val="footer"/>
    <w:basedOn w:val="Normal"/>
    <w:link w:val="FooterChar"/>
    <w:uiPriority w:val="99"/>
    <w:unhideWhenUsed/>
    <w:rsid w:val="002C3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F9"/>
    <w:rPr>
      <w:rFonts w:ascii="Arial" w:eastAsia="Arial" w:hAnsi="Arial" w:cs="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Ryan Miranda</cp:lastModifiedBy>
  <cp:revision>4</cp:revision>
  <dcterms:created xsi:type="dcterms:W3CDTF">2022-10-31T15:42:00Z</dcterms:created>
  <dcterms:modified xsi:type="dcterms:W3CDTF">2022-11-04T10:38:00Z</dcterms:modified>
</cp:coreProperties>
</file>