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2540" w14:textId="77777777" w:rsidR="00C344E3" w:rsidRDefault="00C344E3">
      <w:pPr>
        <w:pStyle w:val="BodyText"/>
        <w:rPr>
          <w:rFonts w:ascii="Times New Roman"/>
          <w:sz w:val="20"/>
        </w:rPr>
      </w:pPr>
    </w:p>
    <w:p w14:paraId="18A3C565" w14:textId="77777777" w:rsidR="00C344E3" w:rsidRDefault="00C344E3">
      <w:pPr>
        <w:pStyle w:val="BodyText"/>
        <w:rPr>
          <w:rFonts w:ascii="Times New Roman"/>
          <w:sz w:val="20"/>
        </w:rPr>
      </w:pPr>
    </w:p>
    <w:p w14:paraId="5DD86F8F" w14:textId="77777777" w:rsidR="00C344E3" w:rsidRDefault="00C344E3">
      <w:pPr>
        <w:pStyle w:val="BodyText"/>
        <w:spacing w:before="9"/>
        <w:rPr>
          <w:rFonts w:ascii="Times New Roman"/>
          <w:sz w:val="21"/>
        </w:rPr>
      </w:pPr>
    </w:p>
    <w:p w14:paraId="533C9FCF" w14:textId="77777777" w:rsidR="00C344E3" w:rsidRDefault="00C739BD">
      <w:pPr>
        <w:pStyle w:val="Title"/>
      </w:pPr>
      <w:r>
        <w:t>Core Unit 2 – Regulation of Retirement Provision</w:t>
      </w:r>
    </w:p>
    <w:p w14:paraId="57CBA064" w14:textId="2A4B8093" w:rsidR="00C344E3" w:rsidRDefault="00401AEA">
      <w:pPr>
        <w:spacing w:before="66"/>
        <w:ind w:left="905" w:right="902"/>
        <w:jc w:val="center"/>
        <w:rPr>
          <w:sz w:val="28"/>
        </w:rPr>
      </w:pPr>
      <w:r>
        <w:rPr>
          <w:sz w:val="28"/>
        </w:rPr>
        <w:t>Mock Examination</w:t>
      </w:r>
      <w:r w:rsidR="00C739BD">
        <w:rPr>
          <w:sz w:val="28"/>
        </w:rPr>
        <w:t xml:space="preserve"> Notes</w:t>
      </w:r>
    </w:p>
    <w:p w14:paraId="616E5155" w14:textId="77777777" w:rsidR="00C344E3" w:rsidRDefault="00C739BD">
      <w:pPr>
        <w:spacing w:before="1"/>
        <w:ind w:left="881" w:right="905"/>
        <w:jc w:val="center"/>
        <w:rPr>
          <w:i/>
          <w:sz w:val="16"/>
        </w:rPr>
      </w:pPr>
      <w:r>
        <w:rPr>
          <w:i/>
          <w:sz w:val="16"/>
        </w:rPr>
        <w:t>Recommended Time: 1 Hour</w:t>
      </w:r>
    </w:p>
    <w:p w14:paraId="60331CBE" w14:textId="77777777" w:rsidR="00C344E3" w:rsidRDefault="00C344E3">
      <w:pPr>
        <w:pStyle w:val="BodyText"/>
        <w:rPr>
          <w:i/>
          <w:sz w:val="16"/>
        </w:rPr>
      </w:pPr>
    </w:p>
    <w:p w14:paraId="45C777D3" w14:textId="77777777" w:rsidR="00C344E3" w:rsidRDefault="00C344E3">
      <w:pPr>
        <w:pStyle w:val="BodyText"/>
        <w:spacing w:before="10"/>
        <w:rPr>
          <w:i/>
          <w:sz w:val="11"/>
        </w:rPr>
      </w:pPr>
    </w:p>
    <w:p w14:paraId="104CB1EC" w14:textId="6F67910E" w:rsidR="00C344E3" w:rsidRDefault="00AF1B81" w:rsidP="00AF6F74">
      <w:pPr>
        <w:pStyle w:val="Heading1"/>
        <w:numPr>
          <w:ilvl w:val="0"/>
          <w:numId w:val="4"/>
        </w:numPr>
        <w:tabs>
          <w:tab w:val="left" w:pos="460"/>
          <w:tab w:val="left" w:pos="461"/>
        </w:tabs>
        <w:spacing w:line="276" w:lineRule="auto"/>
        <w:ind w:right="352"/>
      </w:pPr>
      <w:r>
        <w:t xml:space="preserve">Under trust law, pension scheme trustees have an overarching duty </w:t>
      </w:r>
      <w:r w:rsidR="00E26864">
        <w:t xml:space="preserve">to </w:t>
      </w:r>
      <w:r w:rsidR="007C2D93">
        <w:t>administer the pension scheme in accordance with the primary purpose for which the scheme was established (i.e., to secure the benefits)</w:t>
      </w:r>
      <w:r w:rsidR="000B0917">
        <w:t>.</w:t>
      </w:r>
    </w:p>
    <w:p w14:paraId="1D8E4565" w14:textId="69319E35" w:rsidR="00092808" w:rsidRDefault="00F3152D" w:rsidP="00092808">
      <w:pPr>
        <w:pStyle w:val="Heading1"/>
        <w:tabs>
          <w:tab w:val="left" w:pos="460"/>
          <w:tab w:val="left" w:pos="461"/>
        </w:tabs>
        <w:spacing w:line="276" w:lineRule="auto"/>
        <w:ind w:left="460" w:right="352"/>
      </w:pPr>
      <w:r>
        <w:t>Name</w:t>
      </w:r>
      <w:r w:rsidR="00092808">
        <w:t xml:space="preserve"> five of the additional duties pension scheme trustees have under trust law and </w:t>
      </w:r>
      <w:r w:rsidR="00E06B05">
        <w:t>give a brief statement to describe each</w:t>
      </w:r>
      <w:r w:rsidR="0046657E">
        <w:t>.</w:t>
      </w:r>
      <w:r w:rsidR="00092808">
        <w:t xml:space="preserve"> </w:t>
      </w:r>
    </w:p>
    <w:p w14:paraId="17CCD11A" w14:textId="135904D0" w:rsidR="00C344E3" w:rsidRPr="00EC5327" w:rsidRDefault="002E547D" w:rsidP="00EC5327">
      <w:pPr>
        <w:spacing w:line="218" w:lineRule="exact"/>
        <w:ind w:right="353"/>
        <w:jc w:val="right"/>
        <w:rPr>
          <w:b/>
          <w:sz w:val="18"/>
        </w:rPr>
      </w:pPr>
      <w:r>
        <w:rPr>
          <w:b/>
          <w:sz w:val="18"/>
        </w:rPr>
        <w:t>10</w:t>
      </w:r>
      <w:r w:rsidR="00C739BD">
        <w:rPr>
          <w:b/>
          <w:sz w:val="18"/>
        </w:rPr>
        <w:t xml:space="preserve"> marks</w:t>
      </w:r>
    </w:p>
    <w:p w14:paraId="277E98CE" w14:textId="54EEAB19" w:rsidR="00C344E3" w:rsidRDefault="00C739BD">
      <w:pPr>
        <w:pStyle w:val="BodyText"/>
        <w:spacing w:before="64"/>
        <w:ind w:left="527"/>
      </w:pPr>
      <w:r>
        <w:t xml:space="preserve">Answer should </w:t>
      </w:r>
      <w:r w:rsidR="0046657E">
        <w:t>include any 5 of the following</w:t>
      </w:r>
      <w:r>
        <w:t>:</w:t>
      </w:r>
    </w:p>
    <w:p w14:paraId="3EB8DFD1" w14:textId="77777777" w:rsidR="00C344E3" w:rsidRDefault="00C344E3">
      <w:pPr>
        <w:pStyle w:val="BodyText"/>
        <w:spacing w:before="11"/>
        <w:rPr>
          <w:sz w:val="17"/>
        </w:rPr>
      </w:pPr>
    </w:p>
    <w:p w14:paraId="3FFC1ED8" w14:textId="3A66E911" w:rsidR="00E63E3A" w:rsidRDefault="00E06B05" w:rsidP="000E6648">
      <w:pPr>
        <w:pStyle w:val="BodyText"/>
        <w:numPr>
          <w:ilvl w:val="0"/>
          <w:numId w:val="5"/>
        </w:numPr>
        <w:spacing w:before="11"/>
      </w:pPr>
      <w:r>
        <w:t>Duty to act in accordance with the trust deed</w:t>
      </w:r>
      <w:r w:rsidR="001D6D6B">
        <w:t>:</w:t>
      </w:r>
    </w:p>
    <w:p w14:paraId="4EE60B77" w14:textId="0D98010D" w:rsidR="0022633B" w:rsidRDefault="00B353B0" w:rsidP="00B353B0">
      <w:pPr>
        <w:pStyle w:val="BodyText"/>
        <w:spacing w:before="11"/>
        <w:ind w:left="720"/>
      </w:pPr>
      <w:r>
        <w:t>- a</w:t>
      </w:r>
      <w:r>
        <w:t xml:space="preserve"> </w:t>
      </w:r>
      <w:r w:rsidR="00E63E3A">
        <w:t xml:space="preserve">trustee </w:t>
      </w:r>
      <w:r w:rsidR="0022633B">
        <w:t xml:space="preserve">must act in accordance with the provisions of the trust deed, except insofar as those provisions </w:t>
      </w:r>
    </w:p>
    <w:p w14:paraId="2778815D" w14:textId="184010EC" w:rsidR="000E6648" w:rsidRDefault="0022633B" w:rsidP="0022633B">
      <w:pPr>
        <w:pStyle w:val="BodyText"/>
        <w:spacing w:before="11"/>
        <w:ind w:left="720"/>
      </w:pPr>
      <w:r>
        <w:t>are modified by the consent of all beneficiaries, overriding legislation or by the Court</w:t>
      </w:r>
      <w:r>
        <w:t>;</w:t>
      </w:r>
      <w:r w:rsidR="00E63E3A">
        <w:t xml:space="preserve"> </w:t>
      </w:r>
    </w:p>
    <w:p w14:paraId="14C486B2" w14:textId="61CCCA74" w:rsidR="00077C22" w:rsidRDefault="0022633B" w:rsidP="00077C22">
      <w:pPr>
        <w:pStyle w:val="BodyText"/>
        <w:numPr>
          <w:ilvl w:val="0"/>
          <w:numId w:val="5"/>
        </w:numPr>
        <w:spacing w:before="11"/>
      </w:pPr>
      <w:r w:rsidRPr="0022633B">
        <w:t>Duty to act impartially</w:t>
      </w:r>
      <w:r w:rsidR="001D6D6B">
        <w:t>:</w:t>
      </w:r>
    </w:p>
    <w:p w14:paraId="76285696" w14:textId="2D980D61" w:rsidR="00077C22" w:rsidRDefault="0022633B" w:rsidP="001D6D6B">
      <w:pPr>
        <w:pStyle w:val="BodyText"/>
        <w:spacing w:before="11"/>
        <w:ind w:left="720"/>
      </w:pPr>
      <w:r>
        <w:t>-</w:t>
      </w:r>
      <w:r w:rsidR="004249E1">
        <w:t xml:space="preserve"> </w:t>
      </w:r>
      <w:r w:rsidR="00077C22">
        <w:t>a</w:t>
      </w:r>
      <w:r w:rsidR="00077C22">
        <w:t xml:space="preserve"> trustee must be impartial in the execution of the trust and must consider the interests of all of the </w:t>
      </w:r>
    </w:p>
    <w:p w14:paraId="7CC6195D" w14:textId="2AAC4AB5" w:rsidR="0022633B" w:rsidRDefault="00077C22" w:rsidP="001D6D6B">
      <w:pPr>
        <w:pStyle w:val="BodyText"/>
        <w:spacing w:before="11"/>
        <w:ind w:left="720"/>
      </w:pPr>
      <w:r>
        <w:t>beneficiaries (and of the different classes of beneficiary) when making decisions in respect of the trust</w:t>
      </w:r>
      <w:r w:rsidR="001D6D6B">
        <w:t>;</w:t>
      </w:r>
    </w:p>
    <w:p w14:paraId="77A524EA" w14:textId="104841EC" w:rsidR="0084473D" w:rsidRDefault="006C5A8B" w:rsidP="0084473D">
      <w:pPr>
        <w:pStyle w:val="BodyText"/>
        <w:numPr>
          <w:ilvl w:val="0"/>
          <w:numId w:val="5"/>
        </w:numPr>
        <w:spacing w:before="11"/>
      </w:pPr>
      <w:r w:rsidRPr="006C5A8B">
        <w:t>Duty to exercise reasonable skill and care</w:t>
      </w:r>
      <w:r w:rsidR="0084473D">
        <w:t>:</w:t>
      </w:r>
    </w:p>
    <w:p w14:paraId="4A3C7844" w14:textId="650A69F2" w:rsidR="006C5A8B" w:rsidRDefault="0084473D" w:rsidP="006C5A8B">
      <w:pPr>
        <w:pStyle w:val="BodyText"/>
        <w:spacing w:before="11"/>
        <w:ind w:left="720"/>
      </w:pPr>
      <w:r>
        <w:t>-</w:t>
      </w:r>
      <w:r w:rsidR="006C5A8B" w:rsidRPr="006C5A8B">
        <w:t xml:space="preserve"> </w:t>
      </w:r>
      <w:r w:rsidR="006C5A8B">
        <w:t>l</w:t>
      </w:r>
      <w:r w:rsidR="006C5A8B">
        <w:t xml:space="preserve">ay trustees should use such skill and care in the management of the trust as men of ordinary prudence </w:t>
      </w:r>
    </w:p>
    <w:p w14:paraId="0CDE9386" w14:textId="77777777" w:rsidR="006C5A8B" w:rsidRDefault="006C5A8B" w:rsidP="006C5A8B">
      <w:pPr>
        <w:pStyle w:val="BodyText"/>
        <w:spacing w:before="11"/>
        <w:ind w:left="720"/>
      </w:pPr>
      <w:r>
        <w:t xml:space="preserve">and vigilance would use in the management of the affairs of a third party for whom they felt morally bound </w:t>
      </w:r>
    </w:p>
    <w:p w14:paraId="53A7F8E2" w14:textId="51CE2A22" w:rsidR="0084473D" w:rsidRDefault="006C5A8B" w:rsidP="006C5A8B">
      <w:pPr>
        <w:pStyle w:val="BodyText"/>
        <w:spacing w:before="11"/>
        <w:ind w:left="720"/>
      </w:pPr>
      <w:r>
        <w:t>to provide.</w:t>
      </w:r>
      <w:r w:rsidR="0084473D">
        <w:t xml:space="preserve">; </w:t>
      </w:r>
    </w:p>
    <w:p w14:paraId="6E03E3F2" w14:textId="37788222" w:rsidR="0084473D" w:rsidRDefault="004249E1" w:rsidP="0084473D">
      <w:pPr>
        <w:pStyle w:val="BodyText"/>
        <w:numPr>
          <w:ilvl w:val="0"/>
          <w:numId w:val="5"/>
        </w:numPr>
        <w:spacing w:before="11"/>
      </w:pPr>
      <w:r w:rsidRPr="004249E1">
        <w:t>Duty to act without charg</w:t>
      </w:r>
      <w:r>
        <w:t>e</w:t>
      </w:r>
      <w:r w:rsidR="0084473D">
        <w:t>:</w:t>
      </w:r>
    </w:p>
    <w:p w14:paraId="00C98E68" w14:textId="6191B34A" w:rsidR="004249E1" w:rsidRDefault="0084473D" w:rsidP="004249E1">
      <w:pPr>
        <w:pStyle w:val="BodyText"/>
        <w:spacing w:before="11"/>
        <w:ind w:left="720"/>
      </w:pPr>
      <w:r>
        <w:t>-</w:t>
      </w:r>
      <w:r w:rsidR="004249E1" w:rsidRPr="004249E1">
        <w:t xml:space="preserve"> </w:t>
      </w:r>
      <w:r w:rsidR="004249E1">
        <w:t>a</w:t>
      </w:r>
      <w:r w:rsidR="004249E1">
        <w:t>s a general rule a trustee must not delegate his duties or powers or the receipt of trust monies to a</w:t>
      </w:r>
    </w:p>
    <w:p w14:paraId="64972EFA" w14:textId="4F68DEF5" w:rsidR="0084473D" w:rsidRDefault="004249E1" w:rsidP="004249E1">
      <w:pPr>
        <w:pStyle w:val="BodyText"/>
        <w:spacing w:before="11"/>
        <w:ind w:left="720"/>
      </w:pPr>
      <w:r>
        <w:t>co-trustee or to a third party unless authorised by the trust deed or by statute.</w:t>
      </w:r>
      <w:r w:rsidR="0084473D">
        <w:t xml:space="preserve">; </w:t>
      </w:r>
    </w:p>
    <w:p w14:paraId="16F21952" w14:textId="2958CF1D" w:rsidR="0084473D" w:rsidRDefault="00F54D99" w:rsidP="0084473D">
      <w:pPr>
        <w:pStyle w:val="BodyText"/>
        <w:numPr>
          <w:ilvl w:val="0"/>
          <w:numId w:val="5"/>
        </w:numPr>
        <w:spacing w:before="11"/>
      </w:pPr>
      <w:r w:rsidRPr="00F54D99">
        <w:t>Duty to act jointly</w:t>
      </w:r>
      <w:r w:rsidR="0084473D">
        <w:t>:</w:t>
      </w:r>
    </w:p>
    <w:p w14:paraId="53DD1C1D" w14:textId="21EB61C4" w:rsidR="00F54D99" w:rsidRDefault="00073E9A" w:rsidP="00073E9A">
      <w:pPr>
        <w:pStyle w:val="BodyText"/>
        <w:spacing w:before="11"/>
        <w:ind w:left="720"/>
      </w:pPr>
      <w:r>
        <w:t xml:space="preserve">- </w:t>
      </w:r>
      <w:r>
        <w:t>in t</w:t>
      </w:r>
      <w:r w:rsidR="00F54D99">
        <w:t xml:space="preserve">he case of a non-charitable trust (such as a pension scheme) if there is more than one trustee all must </w:t>
      </w:r>
    </w:p>
    <w:p w14:paraId="105A8B58" w14:textId="539A65FD" w:rsidR="0084473D" w:rsidRDefault="00F54D99" w:rsidP="00F54D99">
      <w:pPr>
        <w:pStyle w:val="BodyText"/>
        <w:spacing w:before="11"/>
        <w:ind w:left="720"/>
      </w:pPr>
      <w:r>
        <w:t>act together in the management of the trust</w:t>
      </w:r>
      <w:r>
        <w:t>, with some exceptions</w:t>
      </w:r>
      <w:r w:rsidR="0084473D">
        <w:t xml:space="preserve">; </w:t>
      </w:r>
    </w:p>
    <w:p w14:paraId="7CA06763" w14:textId="028B91D9" w:rsidR="0084473D" w:rsidRDefault="00157C45" w:rsidP="0084473D">
      <w:pPr>
        <w:pStyle w:val="BodyText"/>
        <w:numPr>
          <w:ilvl w:val="0"/>
          <w:numId w:val="5"/>
        </w:numPr>
        <w:spacing w:before="11"/>
      </w:pPr>
      <w:r w:rsidRPr="00157C45">
        <w:t>Duty not to profit from trust property</w:t>
      </w:r>
      <w:r w:rsidR="0084473D">
        <w:t>:</w:t>
      </w:r>
    </w:p>
    <w:p w14:paraId="02813816" w14:textId="2D7BFDE7" w:rsidR="00157C45" w:rsidRDefault="00073E9A" w:rsidP="00073E9A">
      <w:pPr>
        <w:pStyle w:val="BodyText"/>
        <w:spacing w:before="11"/>
        <w:ind w:left="720"/>
      </w:pPr>
      <w:r>
        <w:t>- trustee</w:t>
      </w:r>
      <w:r>
        <w:t>s</w:t>
      </w:r>
      <w:r w:rsidR="00157C45">
        <w:t xml:space="preserve"> must not use or deal with trust property for their own private advantage or they will be personally </w:t>
      </w:r>
    </w:p>
    <w:p w14:paraId="0215C088" w14:textId="66E7FC07" w:rsidR="00157C45" w:rsidRDefault="00157C45" w:rsidP="00157C45">
      <w:pPr>
        <w:pStyle w:val="BodyText"/>
        <w:spacing w:before="11"/>
        <w:ind w:left="720"/>
      </w:pPr>
      <w:r>
        <w:t>liable to account for their profits</w:t>
      </w:r>
      <w:r w:rsidR="0084473D">
        <w:t>;</w:t>
      </w:r>
    </w:p>
    <w:p w14:paraId="19C6CE5D" w14:textId="5A890790" w:rsidR="00073E9A" w:rsidRDefault="00DE68B3" w:rsidP="00073E9A">
      <w:pPr>
        <w:pStyle w:val="BodyText"/>
        <w:numPr>
          <w:ilvl w:val="0"/>
          <w:numId w:val="5"/>
        </w:numPr>
        <w:spacing w:before="11"/>
      </w:pPr>
      <w:r>
        <w:t>Duty to prepare and disclose accounts</w:t>
      </w:r>
      <w:r w:rsidR="00073E9A">
        <w:t>:</w:t>
      </w:r>
    </w:p>
    <w:p w14:paraId="4D4D8EE8" w14:textId="7334BCB2" w:rsidR="001D6D6B" w:rsidRPr="00DE68B3" w:rsidRDefault="00073E9A" w:rsidP="00DE68B3">
      <w:pPr>
        <w:pStyle w:val="BodyText"/>
        <w:spacing w:before="11"/>
        <w:ind w:left="720"/>
      </w:pPr>
      <w:r>
        <w:t xml:space="preserve">- </w:t>
      </w:r>
      <w:r w:rsidR="000C49E5">
        <w:t>a</w:t>
      </w:r>
      <w:r w:rsidR="00DE68B3">
        <w:t xml:space="preserve"> trustee must</w:t>
      </w:r>
      <w:r w:rsidR="00DE68B3">
        <w:t xml:space="preserve"> </w:t>
      </w:r>
      <w:r w:rsidR="00DE68B3">
        <w:t>keep clear and accurate accounts of the trust property</w:t>
      </w:r>
      <w:r w:rsidR="00DE68B3">
        <w:t xml:space="preserve">, and, </w:t>
      </w:r>
      <w:r w:rsidR="00DE68B3">
        <w:t>at all reasonable times, at the request of a beneficiary, disclose full and accurate information as to the amount and state of the trust property, and permit the beneficiary or his solicitor to inspect the accounts and other documents relating to the trust property</w:t>
      </w:r>
      <w:r w:rsidR="00BA0E3A">
        <w:t>.</w:t>
      </w:r>
    </w:p>
    <w:p w14:paraId="74F65F20" w14:textId="77777777" w:rsidR="001D6D6B" w:rsidRPr="00611605" w:rsidRDefault="001D6D6B" w:rsidP="001D6D6B">
      <w:pPr>
        <w:pStyle w:val="BodyText"/>
        <w:spacing w:before="11"/>
        <w:ind w:left="720"/>
        <w:rPr>
          <w:sz w:val="21"/>
        </w:rPr>
      </w:pPr>
    </w:p>
    <w:p w14:paraId="013B62C0" w14:textId="4758742C" w:rsidR="00C344E3" w:rsidRDefault="00C739BD" w:rsidP="002D6DB9">
      <w:pPr>
        <w:pStyle w:val="BodyText"/>
        <w:ind w:left="527"/>
      </w:pPr>
      <w:r>
        <w:t xml:space="preserve">(Relevant section of the manual is Part </w:t>
      </w:r>
      <w:r w:rsidR="00EC2599">
        <w:t>2</w:t>
      </w:r>
      <w:r>
        <w:t xml:space="preserve"> Chapter </w:t>
      </w:r>
      <w:r w:rsidR="00EC2599">
        <w:t>2.7.1</w:t>
      </w:r>
      <w:r w:rsidR="000E6648">
        <w:t>)</w:t>
      </w:r>
    </w:p>
    <w:p w14:paraId="38B92CA7" w14:textId="77777777" w:rsidR="002D6DB9" w:rsidRDefault="002D6DB9" w:rsidP="002D6DB9">
      <w:pPr>
        <w:pStyle w:val="BodyText"/>
        <w:ind w:left="527"/>
        <w:rPr>
          <w:sz w:val="19"/>
        </w:rPr>
      </w:pPr>
    </w:p>
    <w:p w14:paraId="5E4815B2" w14:textId="20811D5E" w:rsidR="00C344E3" w:rsidRDefault="009D3395" w:rsidP="00220BE4">
      <w:pPr>
        <w:pStyle w:val="Heading1"/>
        <w:numPr>
          <w:ilvl w:val="0"/>
          <w:numId w:val="4"/>
        </w:numPr>
        <w:tabs>
          <w:tab w:val="left" w:pos="527"/>
          <w:tab w:val="left" w:pos="528"/>
        </w:tabs>
        <w:spacing w:before="64" w:line="276" w:lineRule="auto"/>
        <w:ind w:right="342"/>
      </w:pPr>
      <w:r>
        <w:t>In relation to DC investments, what are t</w:t>
      </w:r>
      <w:r w:rsidR="00C17FFD" w:rsidRPr="00C17FFD">
        <w:t>he key governance requirements</w:t>
      </w:r>
      <w:r w:rsidR="00F3152D">
        <w:t xml:space="preserve"> for trustees</w:t>
      </w:r>
      <w:r w:rsidR="00C17FFD">
        <w:t xml:space="preserve"> </w:t>
      </w:r>
      <w:r w:rsidR="00C17FFD">
        <w:t>set out in the Occupational Pension Schemes (Charges and Governance) Regulations 2015</w:t>
      </w:r>
      <w:r w:rsidR="00825C37">
        <w:t>?</w:t>
      </w:r>
    </w:p>
    <w:p w14:paraId="43F72945" w14:textId="490CAE10" w:rsidR="00C344E3" w:rsidRPr="00EC5327" w:rsidRDefault="00C739BD" w:rsidP="00EC5327">
      <w:pPr>
        <w:spacing w:line="219" w:lineRule="exact"/>
        <w:ind w:right="353"/>
        <w:jc w:val="right"/>
        <w:rPr>
          <w:b/>
          <w:sz w:val="18"/>
        </w:rPr>
      </w:pPr>
      <w:r>
        <w:rPr>
          <w:b/>
          <w:sz w:val="18"/>
        </w:rPr>
        <w:t>5 marks</w:t>
      </w:r>
    </w:p>
    <w:p w14:paraId="22074AF8" w14:textId="323ED9A8" w:rsidR="00BE2CE2" w:rsidRDefault="00DA3263" w:rsidP="00DA3263">
      <w:pPr>
        <w:pStyle w:val="BodyText"/>
      </w:pPr>
      <w:r>
        <w:t xml:space="preserve">            Answer should include 5 of the following</w:t>
      </w:r>
      <w:r w:rsidR="00BE2CE2">
        <w:t>:</w:t>
      </w:r>
    </w:p>
    <w:p w14:paraId="3030C65F" w14:textId="77777777" w:rsidR="00DA3263" w:rsidRDefault="00DA3263" w:rsidP="00DA3263">
      <w:pPr>
        <w:pStyle w:val="BodyText"/>
      </w:pPr>
    </w:p>
    <w:p w14:paraId="0CD3CAE3" w14:textId="739CDCDF" w:rsidR="00BE2CE2" w:rsidRDefault="00BE2CE2" w:rsidP="00DA3263">
      <w:pPr>
        <w:pStyle w:val="BodyText"/>
        <w:numPr>
          <w:ilvl w:val="0"/>
          <w:numId w:val="33"/>
        </w:numPr>
      </w:pPr>
      <w:r>
        <w:t>core financial transactions must be processed promptly and accurately;</w:t>
      </w:r>
    </w:p>
    <w:p w14:paraId="341B222F" w14:textId="124C1618" w:rsidR="00BE2CE2" w:rsidRDefault="00BE2CE2" w:rsidP="00DA3263">
      <w:pPr>
        <w:pStyle w:val="BodyText"/>
        <w:numPr>
          <w:ilvl w:val="0"/>
          <w:numId w:val="33"/>
        </w:numPr>
      </w:pPr>
      <w:r>
        <w:t>the value of costs and charges borne by members must be assessed;</w:t>
      </w:r>
    </w:p>
    <w:p w14:paraId="0FFB3600" w14:textId="55684EA8" w:rsidR="00BE2CE2" w:rsidRDefault="00BE2CE2" w:rsidP="00DA3263">
      <w:pPr>
        <w:pStyle w:val="BodyText"/>
        <w:numPr>
          <w:ilvl w:val="0"/>
          <w:numId w:val="33"/>
        </w:numPr>
      </w:pPr>
      <w:r>
        <w:t xml:space="preserve">a statement of investment principles governing decisions about investments for the purposes of the </w:t>
      </w:r>
    </w:p>
    <w:p w14:paraId="33535812" w14:textId="77777777" w:rsidR="00BE2CE2" w:rsidRDefault="00BE2CE2" w:rsidP="00DA3263">
      <w:pPr>
        <w:pStyle w:val="BodyText"/>
        <w:ind w:left="765"/>
      </w:pPr>
      <w:r>
        <w:t>default arrangement must be prepared;</w:t>
      </w:r>
    </w:p>
    <w:p w14:paraId="1F667B9D" w14:textId="2CA1A4E5" w:rsidR="00BE2CE2" w:rsidRDefault="00BE2CE2" w:rsidP="00DA3263">
      <w:pPr>
        <w:pStyle w:val="BodyText"/>
        <w:numPr>
          <w:ilvl w:val="0"/>
          <w:numId w:val="33"/>
        </w:numPr>
      </w:pPr>
      <w:r>
        <w:t>default arrangements must be designed in the members’ interests and kept under regular review;</w:t>
      </w:r>
    </w:p>
    <w:p w14:paraId="39A0FE0B" w14:textId="0B4654F9" w:rsidR="00BE2CE2" w:rsidRDefault="00BE2CE2" w:rsidP="00DA3263">
      <w:pPr>
        <w:pStyle w:val="BodyText"/>
        <w:numPr>
          <w:ilvl w:val="0"/>
          <w:numId w:val="33"/>
        </w:numPr>
      </w:pPr>
      <w:r>
        <w:t xml:space="preserve">the scheme deed and rules must not restrict the choice of administrators, fund managers or advisers to </w:t>
      </w:r>
    </w:p>
    <w:p w14:paraId="703EB4D3" w14:textId="4BCCBD6A" w:rsidR="00BE2CE2" w:rsidRDefault="00DA3263" w:rsidP="00DA3263">
      <w:pPr>
        <w:pStyle w:val="BodyText"/>
        <w:ind w:left="720"/>
      </w:pPr>
      <w:r>
        <w:t xml:space="preserve"> </w:t>
      </w:r>
      <w:r w:rsidR="00BE2CE2">
        <w:t xml:space="preserve">the scheme; </w:t>
      </w:r>
    </w:p>
    <w:p w14:paraId="30ABF1C6" w14:textId="69FD737F" w:rsidR="00BE2CE2" w:rsidRDefault="00BE2CE2" w:rsidP="00DA3263">
      <w:pPr>
        <w:pStyle w:val="BodyText"/>
        <w:numPr>
          <w:ilvl w:val="0"/>
          <w:numId w:val="34"/>
        </w:numPr>
      </w:pPr>
      <w:r>
        <w:t xml:space="preserve">a chair of trustees (the Chair) must be appointed with responsibility for signing off an annual statement </w:t>
      </w:r>
    </w:p>
    <w:p w14:paraId="37BCA962" w14:textId="391F784B" w:rsidR="000950AD" w:rsidRDefault="00BE2CE2" w:rsidP="00DA3263">
      <w:pPr>
        <w:pStyle w:val="BodyText"/>
        <w:ind w:left="720"/>
      </w:pPr>
      <w:r>
        <w:t>describing how the governance requirements have been met</w:t>
      </w:r>
    </w:p>
    <w:p w14:paraId="0756AD71" w14:textId="77777777" w:rsidR="00DA3263" w:rsidRDefault="00DA3263" w:rsidP="00DA3263">
      <w:pPr>
        <w:pStyle w:val="BodyText"/>
        <w:ind w:left="720"/>
      </w:pPr>
    </w:p>
    <w:p w14:paraId="57C7090A" w14:textId="3C317DFF" w:rsidR="00C344E3" w:rsidRDefault="00AB46AC">
      <w:pPr>
        <w:pStyle w:val="BodyText"/>
        <w:ind w:left="527"/>
      </w:pPr>
      <w:r>
        <w:t>(</w:t>
      </w:r>
      <w:r w:rsidR="00C739BD">
        <w:t xml:space="preserve">Relevant section of the manual is Part </w:t>
      </w:r>
      <w:r w:rsidR="00DA3263">
        <w:t>5</w:t>
      </w:r>
      <w:r w:rsidR="00C739BD">
        <w:t xml:space="preserve"> Chapter </w:t>
      </w:r>
      <w:r w:rsidR="000950AD">
        <w:t>1.</w:t>
      </w:r>
      <w:r w:rsidR="00DA3263">
        <w:t>1.5</w:t>
      </w:r>
      <w:r w:rsidR="002D6DB9">
        <w:t>)</w:t>
      </w:r>
    </w:p>
    <w:p w14:paraId="2538FF95" w14:textId="16B1C7FB" w:rsidR="000950AD" w:rsidRDefault="000950AD">
      <w:pPr>
        <w:pStyle w:val="BodyText"/>
        <w:ind w:left="527"/>
      </w:pPr>
    </w:p>
    <w:p w14:paraId="21A673AC" w14:textId="77777777" w:rsidR="004D4284" w:rsidRDefault="004D4284">
      <w:pPr>
        <w:pStyle w:val="BodyText"/>
        <w:ind w:left="527"/>
      </w:pPr>
    </w:p>
    <w:p w14:paraId="77D6CD66" w14:textId="5D50ADFF" w:rsidR="00C344E3" w:rsidRDefault="00645B01">
      <w:pPr>
        <w:pStyle w:val="Heading1"/>
        <w:numPr>
          <w:ilvl w:val="0"/>
          <w:numId w:val="4"/>
        </w:numPr>
        <w:tabs>
          <w:tab w:val="left" w:pos="460"/>
          <w:tab w:val="left" w:pos="461"/>
        </w:tabs>
        <w:spacing w:before="63"/>
        <w:ind w:hanging="361"/>
      </w:pPr>
      <w:r>
        <w:t xml:space="preserve">In relation to the Code of Practice issued by </w:t>
      </w:r>
      <w:r>
        <w:t>the Pensions Regulator (TPR</w:t>
      </w:r>
      <w:r>
        <w:t xml:space="preserve"> ), l</w:t>
      </w:r>
      <w:r w:rsidR="008968BA">
        <w:t>ist the circumstances where</w:t>
      </w:r>
      <w:r>
        <w:t xml:space="preserve"> the TPR</w:t>
      </w:r>
      <w:r w:rsidR="00BC53DE">
        <w:t xml:space="preserve"> </w:t>
      </w:r>
      <w:r w:rsidR="008968BA">
        <w:t xml:space="preserve">may expect </w:t>
      </w:r>
      <w:r w:rsidR="00BC53DE">
        <w:t>to use the “material detriment test”</w:t>
      </w:r>
      <w:r w:rsidR="000C50B5">
        <w:t xml:space="preserve"> </w:t>
      </w:r>
      <w:r w:rsidR="00C739BD">
        <w:t>.</w:t>
      </w:r>
      <w:r w:rsidR="00AB46AC">
        <w:tab/>
      </w:r>
    </w:p>
    <w:p w14:paraId="0692B85F" w14:textId="77777777" w:rsidR="00C344E3" w:rsidRDefault="00C344E3">
      <w:pPr>
        <w:pStyle w:val="BodyText"/>
        <w:spacing w:before="6"/>
        <w:rPr>
          <w:b/>
          <w:sz w:val="23"/>
        </w:rPr>
      </w:pPr>
    </w:p>
    <w:p w14:paraId="35036DB1" w14:textId="19ADEEB0" w:rsidR="00AB46AC" w:rsidRDefault="00AB46AC" w:rsidP="00AB46AC">
      <w:pPr>
        <w:pStyle w:val="BodyText"/>
        <w:ind w:left="7768" w:firstLine="152"/>
        <w:rPr>
          <w:b/>
          <w:bCs/>
        </w:rPr>
      </w:pPr>
      <w:r>
        <w:rPr>
          <w:b/>
          <w:bCs/>
        </w:rPr>
        <w:t>5 marks</w:t>
      </w:r>
    </w:p>
    <w:p w14:paraId="45B7C0CB" w14:textId="049A724F" w:rsidR="00C344E3" w:rsidRDefault="00C739BD">
      <w:pPr>
        <w:pStyle w:val="BodyText"/>
        <w:ind w:left="568"/>
      </w:pPr>
      <w:r>
        <w:t xml:space="preserve">Answer should </w:t>
      </w:r>
      <w:r w:rsidR="00F5163C">
        <w:t>cover</w:t>
      </w:r>
      <w:r>
        <w:t>:</w:t>
      </w:r>
    </w:p>
    <w:p w14:paraId="4FC8E9F3" w14:textId="77777777" w:rsidR="00D72E29" w:rsidRDefault="00D72E29">
      <w:pPr>
        <w:pStyle w:val="BodyText"/>
        <w:ind w:left="568"/>
      </w:pPr>
    </w:p>
    <w:p w14:paraId="125F4426" w14:textId="01FC6552" w:rsidR="0010309C" w:rsidRPr="0010309C" w:rsidRDefault="0010309C" w:rsidP="0010309C">
      <w:pPr>
        <w:pStyle w:val="ListParagraph"/>
        <w:numPr>
          <w:ilvl w:val="0"/>
          <w:numId w:val="13"/>
        </w:numPr>
        <w:tabs>
          <w:tab w:val="left" w:pos="1540"/>
          <w:tab w:val="left" w:pos="1541"/>
        </w:tabs>
        <w:ind w:right="102"/>
        <w:rPr>
          <w:sz w:val="18"/>
          <w:szCs w:val="18"/>
        </w:rPr>
      </w:pPr>
      <w:r w:rsidRPr="0010309C">
        <w:rPr>
          <w:sz w:val="18"/>
          <w:szCs w:val="18"/>
        </w:rPr>
        <w:t>the transfer of a scheme out of the UK</w:t>
      </w:r>
      <w:r w:rsidR="006420FB">
        <w:rPr>
          <w:sz w:val="18"/>
          <w:szCs w:val="18"/>
        </w:rPr>
        <w:t>;</w:t>
      </w:r>
    </w:p>
    <w:p w14:paraId="6BC629D6" w14:textId="5304B5AD" w:rsidR="0010309C" w:rsidRPr="0010309C" w:rsidRDefault="0010309C" w:rsidP="0010309C">
      <w:pPr>
        <w:pStyle w:val="ListParagraph"/>
        <w:numPr>
          <w:ilvl w:val="0"/>
          <w:numId w:val="13"/>
        </w:numPr>
        <w:tabs>
          <w:tab w:val="left" w:pos="1540"/>
          <w:tab w:val="left" w:pos="1541"/>
        </w:tabs>
        <w:ind w:right="102"/>
        <w:rPr>
          <w:sz w:val="18"/>
          <w:szCs w:val="18"/>
        </w:rPr>
      </w:pPr>
      <w:r w:rsidRPr="0010309C">
        <w:rPr>
          <w:sz w:val="18"/>
          <w:szCs w:val="18"/>
        </w:rPr>
        <w:t xml:space="preserve">the transfer of a sponsoring employer out of the UK or the replacement of a sponsoring employer with </w:t>
      </w:r>
    </w:p>
    <w:p w14:paraId="2C3FF440" w14:textId="4C59B29F" w:rsidR="0010309C" w:rsidRPr="006420FB" w:rsidRDefault="0010309C" w:rsidP="006420FB">
      <w:pPr>
        <w:tabs>
          <w:tab w:val="left" w:pos="1540"/>
          <w:tab w:val="left" w:pos="1541"/>
        </w:tabs>
        <w:ind w:left="928" w:right="102"/>
        <w:rPr>
          <w:sz w:val="18"/>
          <w:szCs w:val="18"/>
        </w:rPr>
      </w:pPr>
      <w:r w:rsidRPr="006420FB">
        <w:rPr>
          <w:sz w:val="18"/>
          <w:szCs w:val="18"/>
        </w:rPr>
        <w:t>an entity that does not fall within the UK</w:t>
      </w:r>
      <w:r w:rsidR="007B6D36">
        <w:rPr>
          <w:sz w:val="18"/>
          <w:szCs w:val="18"/>
        </w:rPr>
        <w:t>;</w:t>
      </w:r>
    </w:p>
    <w:p w14:paraId="2C89F851" w14:textId="11217A33" w:rsidR="0010309C" w:rsidRPr="0010309C" w:rsidRDefault="0010309C" w:rsidP="0010309C">
      <w:pPr>
        <w:pStyle w:val="ListParagraph"/>
        <w:numPr>
          <w:ilvl w:val="0"/>
          <w:numId w:val="13"/>
        </w:numPr>
        <w:tabs>
          <w:tab w:val="left" w:pos="1540"/>
          <w:tab w:val="left" w:pos="1541"/>
        </w:tabs>
        <w:ind w:right="102"/>
        <w:rPr>
          <w:sz w:val="18"/>
          <w:szCs w:val="18"/>
        </w:rPr>
      </w:pPr>
      <w:r w:rsidRPr="0010309C">
        <w:rPr>
          <w:sz w:val="18"/>
          <w:szCs w:val="18"/>
        </w:rPr>
        <w:t>sponsor support being removed, substantially reduced or becoming nominal</w:t>
      </w:r>
      <w:r w:rsidR="007B6D36">
        <w:rPr>
          <w:sz w:val="18"/>
          <w:szCs w:val="18"/>
        </w:rPr>
        <w:t>;</w:t>
      </w:r>
    </w:p>
    <w:p w14:paraId="440816B0" w14:textId="6937823E" w:rsidR="0010309C" w:rsidRPr="0010309C" w:rsidRDefault="0010309C" w:rsidP="0010309C">
      <w:pPr>
        <w:pStyle w:val="ListParagraph"/>
        <w:numPr>
          <w:ilvl w:val="0"/>
          <w:numId w:val="13"/>
        </w:numPr>
        <w:tabs>
          <w:tab w:val="left" w:pos="1540"/>
          <w:tab w:val="left" w:pos="1541"/>
        </w:tabs>
        <w:ind w:right="102"/>
        <w:rPr>
          <w:sz w:val="18"/>
          <w:szCs w:val="18"/>
        </w:rPr>
      </w:pPr>
      <w:r w:rsidRPr="0010309C">
        <w:rPr>
          <w:sz w:val="18"/>
          <w:szCs w:val="18"/>
        </w:rPr>
        <w:t xml:space="preserve">the transfer of the liabilities of a scheme to another pension scheme or arrangement which leads to a </w:t>
      </w:r>
    </w:p>
    <w:p w14:paraId="70A8B9C7" w14:textId="05D9D733" w:rsidR="0010309C" w:rsidRPr="0010309C" w:rsidRDefault="0010309C" w:rsidP="007B6D36">
      <w:pPr>
        <w:tabs>
          <w:tab w:val="left" w:pos="1540"/>
          <w:tab w:val="left" w:pos="1541"/>
        </w:tabs>
        <w:ind w:left="928" w:right="102"/>
        <w:rPr>
          <w:sz w:val="18"/>
          <w:szCs w:val="18"/>
        </w:rPr>
      </w:pPr>
      <w:r w:rsidRPr="006420FB">
        <w:rPr>
          <w:sz w:val="18"/>
          <w:szCs w:val="18"/>
        </w:rPr>
        <w:t xml:space="preserve">significant reduction </w:t>
      </w:r>
      <w:r w:rsidR="007B6D36">
        <w:rPr>
          <w:sz w:val="18"/>
          <w:szCs w:val="18"/>
        </w:rPr>
        <w:t xml:space="preserve">of </w:t>
      </w:r>
      <w:r w:rsidRPr="0010309C">
        <w:rPr>
          <w:sz w:val="18"/>
          <w:szCs w:val="18"/>
        </w:rPr>
        <w:t>sponsor support in respect of those liabilities or</w:t>
      </w:r>
      <w:r w:rsidR="007B6D36">
        <w:rPr>
          <w:sz w:val="18"/>
          <w:szCs w:val="18"/>
        </w:rPr>
        <w:t xml:space="preserve"> </w:t>
      </w:r>
      <w:r w:rsidRPr="0010309C">
        <w:rPr>
          <w:sz w:val="18"/>
          <w:szCs w:val="18"/>
        </w:rPr>
        <w:t>funding to cover those liabilities</w:t>
      </w:r>
      <w:r w:rsidR="007B6D36">
        <w:rPr>
          <w:sz w:val="18"/>
          <w:szCs w:val="18"/>
        </w:rPr>
        <w:t>;</w:t>
      </w:r>
    </w:p>
    <w:p w14:paraId="13EC033A" w14:textId="38D5222C" w:rsidR="0010309C" w:rsidRPr="0010309C" w:rsidRDefault="007B6D36" w:rsidP="0010309C">
      <w:pPr>
        <w:pStyle w:val="ListParagraph"/>
        <w:numPr>
          <w:ilvl w:val="0"/>
          <w:numId w:val="13"/>
        </w:numPr>
        <w:tabs>
          <w:tab w:val="left" w:pos="1540"/>
          <w:tab w:val="left" w:pos="1541"/>
        </w:tabs>
        <w:ind w:right="102"/>
        <w:rPr>
          <w:sz w:val="18"/>
          <w:szCs w:val="18"/>
        </w:rPr>
      </w:pPr>
      <w:r>
        <w:rPr>
          <w:sz w:val="18"/>
          <w:szCs w:val="18"/>
        </w:rPr>
        <w:t>a</w:t>
      </w:r>
      <w:r w:rsidR="0010309C" w:rsidRPr="0010309C">
        <w:rPr>
          <w:sz w:val="18"/>
          <w:szCs w:val="18"/>
        </w:rPr>
        <w:t xml:space="preserve"> business model or the operation of a scheme which creates from a scheme, or which is designed to </w:t>
      </w:r>
    </w:p>
    <w:p w14:paraId="7658E482" w14:textId="510CCFA0" w:rsidR="000D37CE" w:rsidRPr="00AB622C" w:rsidRDefault="0010309C" w:rsidP="00AB622C">
      <w:pPr>
        <w:tabs>
          <w:tab w:val="left" w:pos="1540"/>
          <w:tab w:val="left" w:pos="1541"/>
        </w:tabs>
        <w:ind w:left="928" w:right="102"/>
        <w:rPr>
          <w:sz w:val="18"/>
        </w:rPr>
      </w:pPr>
      <w:r w:rsidRPr="00AB622C">
        <w:rPr>
          <w:sz w:val="18"/>
          <w:szCs w:val="18"/>
        </w:rPr>
        <w:t>do so, a financial benefit for</w:t>
      </w:r>
      <w:r w:rsidR="007B6D36" w:rsidRPr="00AB622C">
        <w:rPr>
          <w:sz w:val="18"/>
          <w:szCs w:val="18"/>
        </w:rPr>
        <w:t xml:space="preserve"> </w:t>
      </w:r>
      <w:r w:rsidRPr="00AB622C">
        <w:rPr>
          <w:sz w:val="18"/>
          <w:szCs w:val="18"/>
        </w:rPr>
        <w:t>the employer or some other person</w:t>
      </w:r>
      <w:r w:rsidR="007B6D36" w:rsidRPr="00AB622C">
        <w:rPr>
          <w:sz w:val="18"/>
          <w:szCs w:val="18"/>
        </w:rPr>
        <w:t>.</w:t>
      </w:r>
    </w:p>
    <w:p w14:paraId="032EB032" w14:textId="77777777" w:rsidR="000D37CE" w:rsidRDefault="000D37CE" w:rsidP="000D37CE">
      <w:pPr>
        <w:tabs>
          <w:tab w:val="left" w:pos="1540"/>
          <w:tab w:val="left" w:pos="1541"/>
        </w:tabs>
        <w:ind w:right="102"/>
        <w:rPr>
          <w:sz w:val="18"/>
        </w:rPr>
      </w:pPr>
    </w:p>
    <w:p w14:paraId="2D3E6D0A" w14:textId="3596ED1D" w:rsidR="00E91786" w:rsidRPr="000D37CE" w:rsidRDefault="00F5163C" w:rsidP="000D37CE">
      <w:pPr>
        <w:tabs>
          <w:tab w:val="left" w:pos="1540"/>
          <w:tab w:val="left" w:pos="1541"/>
        </w:tabs>
        <w:ind w:right="102"/>
        <w:rPr>
          <w:sz w:val="18"/>
        </w:rPr>
      </w:pPr>
      <w:r w:rsidRPr="000D37CE">
        <w:rPr>
          <w:sz w:val="18"/>
        </w:rPr>
        <w:t xml:space="preserve">             </w:t>
      </w:r>
      <w:r w:rsidR="00E91786" w:rsidRPr="000D37CE">
        <w:rPr>
          <w:sz w:val="18"/>
        </w:rPr>
        <w:t xml:space="preserve">(Relevant section of the manual is Part </w:t>
      </w:r>
      <w:r w:rsidR="00A04E8B">
        <w:rPr>
          <w:sz w:val="18"/>
        </w:rPr>
        <w:t>4</w:t>
      </w:r>
      <w:r w:rsidR="00E91786" w:rsidRPr="000D37CE">
        <w:rPr>
          <w:sz w:val="18"/>
        </w:rPr>
        <w:t xml:space="preserve"> Chapter </w:t>
      </w:r>
      <w:r w:rsidR="000D37CE">
        <w:rPr>
          <w:sz w:val="18"/>
        </w:rPr>
        <w:t>1</w:t>
      </w:r>
      <w:r w:rsidR="00A04E8B">
        <w:rPr>
          <w:sz w:val="18"/>
        </w:rPr>
        <w:t>.8.2</w:t>
      </w:r>
      <w:r w:rsidR="00E91786" w:rsidRPr="000D37CE">
        <w:rPr>
          <w:sz w:val="18"/>
        </w:rPr>
        <w:t>)</w:t>
      </w:r>
    </w:p>
    <w:p w14:paraId="5E7BD5F2" w14:textId="6141DEA2" w:rsidR="00C344E3" w:rsidRDefault="00C344E3">
      <w:pPr>
        <w:pStyle w:val="BodyText"/>
        <w:spacing w:before="9"/>
        <w:rPr>
          <w:sz w:val="21"/>
        </w:rPr>
      </w:pPr>
    </w:p>
    <w:p w14:paraId="2FF0A130" w14:textId="150B0A0D" w:rsidR="00E91786" w:rsidRDefault="00285040" w:rsidP="00E91786">
      <w:pPr>
        <w:pStyle w:val="Heading1"/>
        <w:numPr>
          <w:ilvl w:val="0"/>
          <w:numId w:val="4"/>
        </w:numPr>
        <w:tabs>
          <w:tab w:val="left" w:pos="527"/>
          <w:tab w:val="left" w:pos="528"/>
        </w:tabs>
        <w:spacing w:before="63" w:line="276" w:lineRule="auto"/>
        <w:ind w:right="443"/>
      </w:pPr>
      <w:r>
        <w:t xml:space="preserve">List </w:t>
      </w:r>
      <w:r w:rsidR="0042184F">
        <w:t>the Financial Conduct Authority’s Principles of Good Regulation</w:t>
      </w:r>
      <w:r w:rsidR="00E91786">
        <w:t>.</w:t>
      </w:r>
    </w:p>
    <w:p w14:paraId="3D646882" w14:textId="77777777" w:rsidR="00E91786" w:rsidRDefault="00E91786" w:rsidP="00E91786">
      <w:pPr>
        <w:spacing w:line="219" w:lineRule="exact"/>
        <w:ind w:left="8021"/>
        <w:rPr>
          <w:b/>
          <w:sz w:val="18"/>
        </w:rPr>
      </w:pPr>
      <w:r>
        <w:rPr>
          <w:b/>
          <w:sz w:val="18"/>
        </w:rPr>
        <w:t>5 marks</w:t>
      </w:r>
    </w:p>
    <w:p w14:paraId="500A144C" w14:textId="6B9135A1" w:rsidR="00E91786" w:rsidRDefault="00E91786" w:rsidP="00E91786">
      <w:pPr>
        <w:pStyle w:val="BodyText"/>
        <w:spacing w:before="34"/>
        <w:ind w:left="527"/>
      </w:pPr>
      <w:r>
        <w:t>Answer should</w:t>
      </w:r>
      <w:r w:rsidR="00285040">
        <w:t xml:space="preserve"> include 5 from the following</w:t>
      </w:r>
      <w:r>
        <w:t>:</w:t>
      </w:r>
    </w:p>
    <w:p w14:paraId="2DB995FB" w14:textId="77777777" w:rsidR="00E91786" w:rsidRDefault="00E91786" w:rsidP="00E91786">
      <w:pPr>
        <w:pStyle w:val="BodyText"/>
        <w:spacing w:before="7"/>
        <w:rPr>
          <w:sz w:val="20"/>
        </w:rPr>
      </w:pPr>
    </w:p>
    <w:p w14:paraId="518522B0" w14:textId="78EB72FF" w:rsidR="004433BA" w:rsidRDefault="004433BA" w:rsidP="004D779E">
      <w:pPr>
        <w:pStyle w:val="BodyText"/>
        <w:numPr>
          <w:ilvl w:val="0"/>
          <w:numId w:val="21"/>
        </w:numPr>
        <w:spacing w:before="3"/>
      </w:pPr>
      <w:r>
        <w:t>Efficiency and economy</w:t>
      </w:r>
      <w:r>
        <w:t xml:space="preserve"> (</w:t>
      </w:r>
      <w:r>
        <w:t>FCA must use its resources efficiently and economically</w:t>
      </w:r>
      <w:r>
        <w:t>);</w:t>
      </w:r>
    </w:p>
    <w:p w14:paraId="11E9DB0A" w14:textId="479E08EA" w:rsidR="004433BA" w:rsidRDefault="004433BA" w:rsidP="00813504">
      <w:pPr>
        <w:pStyle w:val="BodyText"/>
        <w:numPr>
          <w:ilvl w:val="0"/>
          <w:numId w:val="21"/>
        </w:numPr>
        <w:spacing w:before="3"/>
      </w:pPr>
      <w:r>
        <w:t>Proportionality</w:t>
      </w:r>
      <w:r>
        <w:t xml:space="preserve"> (a</w:t>
      </w:r>
      <w:r>
        <w:t>ny burden or restriction that imposed on a person or activity must be proportionate to the expected</w:t>
      </w:r>
      <w:r w:rsidR="0035565B">
        <w:t xml:space="preserve"> </w:t>
      </w:r>
      <w:r>
        <w:t>benefits, taking into account the costs to firms and consumers</w:t>
      </w:r>
      <w:r w:rsidR="0035565B">
        <w:t>)</w:t>
      </w:r>
      <w:r>
        <w:t>.</w:t>
      </w:r>
    </w:p>
    <w:p w14:paraId="649D4428" w14:textId="305F4C6B" w:rsidR="004433BA" w:rsidRDefault="004433BA" w:rsidP="008A486E">
      <w:pPr>
        <w:pStyle w:val="BodyText"/>
        <w:numPr>
          <w:ilvl w:val="0"/>
          <w:numId w:val="21"/>
        </w:numPr>
        <w:spacing w:before="3"/>
      </w:pPr>
      <w:r>
        <w:t>Consumer responsibility</w:t>
      </w:r>
      <w:r w:rsidR="0035565B">
        <w:t xml:space="preserve"> (c</w:t>
      </w:r>
      <w:r>
        <w:t>onsumers should take responsibility for their decisions</w:t>
      </w:r>
      <w:r w:rsidR="0035565B">
        <w:t>);</w:t>
      </w:r>
    </w:p>
    <w:p w14:paraId="020BD3D8" w14:textId="315A9466" w:rsidR="004433BA" w:rsidRDefault="004433BA" w:rsidP="00F86C31">
      <w:pPr>
        <w:pStyle w:val="BodyText"/>
        <w:numPr>
          <w:ilvl w:val="0"/>
          <w:numId w:val="21"/>
        </w:numPr>
        <w:spacing w:before="3"/>
      </w:pPr>
      <w:r>
        <w:t>Senior management responsibility</w:t>
      </w:r>
      <w:r w:rsidR="0035565B">
        <w:t xml:space="preserve"> (a</w:t>
      </w:r>
      <w:r>
        <w:t xml:space="preserve"> regulated firm’s senior management is deemed responsible for that firm’s activities and is held responsible for the risk management and controls within the firm</w:t>
      </w:r>
      <w:r w:rsidR="0035565B">
        <w:t>);</w:t>
      </w:r>
    </w:p>
    <w:p w14:paraId="45B5DA3A" w14:textId="5923F91D" w:rsidR="004433BA" w:rsidRDefault="004433BA" w:rsidP="00E0353E">
      <w:pPr>
        <w:pStyle w:val="BodyText"/>
        <w:numPr>
          <w:ilvl w:val="0"/>
          <w:numId w:val="21"/>
        </w:numPr>
        <w:spacing w:before="3"/>
      </w:pPr>
      <w:r>
        <w:t>Openness and disclosure</w:t>
      </w:r>
      <w:r w:rsidR="0035565B">
        <w:t xml:space="preserve"> (</w:t>
      </w:r>
      <w:r>
        <w:t>FCA should ensure that relevant market information about regulated persons is published, in order to reinforce market discipline and improve consumers’ knowledge about their financial matters</w:t>
      </w:r>
      <w:r w:rsidR="00004D35">
        <w:t>);</w:t>
      </w:r>
    </w:p>
    <w:p w14:paraId="1AE810BB" w14:textId="47E691B8" w:rsidR="00285040" w:rsidRDefault="004433BA" w:rsidP="00D2686C">
      <w:pPr>
        <w:pStyle w:val="BodyText"/>
        <w:numPr>
          <w:ilvl w:val="0"/>
          <w:numId w:val="21"/>
        </w:numPr>
        <w:spacing w:before="3"/>
      </w:pPr>
      <w:r>
        <w:t>Transparency</w:t>
      </w:r>
      <w:r w:rsidR="00004D35">
        <w:t xml:space="preserve"> (</w:t>
      </w:r>
      <w:r>
        <w:t>FCA should exercise its functions as transparently as possible</w:t>
      </w:r>
      <w:r w:rsidR="00004D35">
        <w:t>)</w:t>
      </w:r>
      <w:r w:rsidR="000D37CE">
        <w:t>.</w:t>
      </w:r>
    </w:p>
    <w:p w14:paraId="30D0FF79" w14:textId="77777777" w:rsidR="000D37CE" w:rsidRDefault="000D37CE" w:rsidP="000D37CE">
      <w:pPr>
        <w:pStyle w:val="BodyText"/>
        <w:spacing w:before="3"/>
        <w:ind w:left="720"/>
      </w:pPr>
    </w:p>
    <w:p w14:paraId="77980EAA" w14:textId="6760BA3A" w:rsidR="00E91786" w:rsidRDefault="0086205F" w:rsidP="00E91786">
      <w:pPr>
        <w:pStyle w:val="BodyText"/>
        <w:ind w:left="527"/>
      </w:pPr>
      <w:r>
        <w:t>(</w:t>
      </w:r>
      <w:r w:rsidR="00E91786">
        <w:t xml:space="preserve">Relevant section of the manual is Part </w:t>
      </w:r>
      <w:r w:rsidR="00045C7F">
        <w:t>1</w:t>
      </w:r>
      <w:r w:rsidR="00E91786">
        <w:t xml:space="preserve"> Chapter </w:t>
      </w:r>
      <w:r w:rsidR="000D37CE">
        <w:t>3.</w:t>
      </w:r>
      <w:r w:rsidR="00045C7F">
        <w:t>5.</w:t>
      </w:r>
      <w:r w:rsidR="000D37CE">
        <w:t>1</w:t>
      </w:r>
      <w:r>
        <w:t>)</w:t>
      </w:r>
    </w:p>
    <w:p w14:paraId="128C90B9" w14:textId="77777777" w:rsidR="009D5026" w:rsidRDefault="009D5026" w:rsidP="00E91786">
      <w:pPr>
        <w:pStyle w:val="BodyText"/>
        <w:ind w:left="527"/>
      </w:pPr>
    </w:p>
    <w:p w14:paraId="1921462D" w14:textId="2C8DE2D2" w:rsidR="009D5026" w:rsidRDefault="009D5026" w:rsidP="00E91786">
      <w:pPr>
        <w:pStyle w:val="BodyText"/>
        <w:ind w:left="527"/>
      </w:pPr>
    </w:p>
    <w:p w14:paraId="67E59C2B" w14:textId="787D51F7" w:rsidR="009D5026" w:rsidRDefault="00132E32" w:rsidP="009D5026">
      <w:pPr>
        <w:pStyle w:val="Heading1"/>
        <w:numPr>
          <w:ilvl w:val="0"/>
          <w:numId w:val="4"/>
        </w:numPr>
        <w:tabs>
          <w:tab w:val="left" w:pos="527"/>
          <w:tab w:val="left" w:pos="528"/>
        </w:tabs>
        <w:spacing w:before="63" w:line="276" w:lineRule="auto"/>
        <w:ind w:right="443"/>
      </w:pPr>
      <w:r>
        <w:t xml:space="preserve">In relation to the </w:t>
      </w:r>
      <w:r>
        <w:t>Proceeds of Crime Act (POCA</w:t>
      </w:r>
      <w:r>
        <w:t>), o</w:t>
      </w:r>
      <w:r w:rsidR="003C0748">
        <w:t xml:space="preserve">utline the </w:t>
      </w:r>
      <w:r w:rsidR="002B014C">
        <w:t xml:space="preserve">two </w:t>
      </w:r>
      <w:r w:rsidR="003C0748">
        <w:t xml:space="preserve">important features of money laundering offences </w:t>
      </w:r>
      <w:r>
        <w:t xml:space="preserve">and the three main </w:t>
      </w:r>
      <w:r w:rsidR="00D16726">
        <w:t>money laundering offences.</w:t>
      </w:r>
    </w:p>
    <w:p w14:paraId="6EA4FAD4" w14:textId="77777777" w:rsidR="009D5026" w:rsidRDefault="009D5026" w:rsidP="009D5026">
      <w:pPr>
        <w:spacing w:line="219" w:lineRule="exact"/>
        <w:ind w:left="8021"/>
        <w:rPr>
          <w:b/>
          <w:sz w:val="18"/>
        </w:rPr>
      </w:pPr>
      <w:r>
        <w:rPr>
          <w:b/>
          <w:sz w:val="18"/>
        </w:rPr>
        <w:t>5 marks</w:t>
      </w:r>
    </w:p>
    <w:p w14:paraId="4A3795B8" w14:textId="77777777" w:rsidR="009D5026" w:rsidRDefault="009D5026" w:rsidP="009D5026">
      <w:pPr>
        <w:pStyle w:val="BodyText"/>
        <w:spacing w:before="34"/>
        <w:ind w:left="527"/>
      </w:pPr>
      <w:r>
        <w:t>Answer should cover:</w:t>
      </w:r>
    </w:p>
    <w:p w14:paraId="517793AD" w14:textId="77777777" w:rsidR="009D5026" w:rsidRDefault="009D5026" w:rsidP="009D5026">
      <w:pPr>
        <w:pStyle w:val="BodyText"/>
        <w:spacing w:before="7"/>
        <w:rPr>
          <w:sz w:val="20"/>
        </w:rPr>
      </w:pPr>
    </w:p>
    <w:p w14:paraId="356EE9C1" w14:textId="77777777" w:rsidR="000F7D12" w:rsidRDefault="000F7D12" w:rsidP="009D5026">
      <w:pPr>
        <w:pStyle w:val="BodyText"/>
        <w:numPr>
          <w:ilvl w:val="0"/>
          <w:numId w:val="9"/>
        </w:numPr>
        <w:spacing w:before="3"/>
      </w:pPr>
      <w:r>
        <w:t>Features:</w:t>
      </w:r>
    </w:p>
    <w:p w14:paraId="61E11AAC" w14:textId="2E2AB7D2" w:rsidR="000F7D12" w:rsidRDefault="000F7D12" w:rsidP="00362A8C">
      <w:pPr>
        <w:pStyle w:val="BodyText"/>
        <w:numPr>
          <w:ilvl w:val="1"/>
          <w:numId w:val="9"/>
        </w:numPr>
        <w:spacing w:before="3"/>
      </w:pPr>
      <w:r>
        <w:t>the offences involve some dealing in “criminal property”</w:t>
      </w:r>
      <w:r w:rsidR="008227B0">
        <w:t xml:space="preserve"> - </w:t>
      </w:r>
      <w:r>
        <w:t xml:space="preserve">broadly defined to include any funds that constitute a person’s benefit from criminal conduct or represent, even indirectly, such a benefit; </w:t>
      </w:r>
    </w:p>
    <w:p w14:paraId="1CC83A45" w14:textId="582BF8FF" w:rsidR="0081034F" w:rsidRDefault="000F7D12" w:rsidP="00C009F0">
      <w:pPr>
        <w:pStyle w:val="BodyText"/>
        <w:numPr>
          <w:ilvl w:val="1"/>
          <w:numId w:val="9"/>
        </w:numPr>
        <w:spacing w:before="3"/>
      </w:pPr>
      <w:r>
        <w:t>there is no requirement for actual knowledge of another’s wrongdoing</w:t>
      </w:r>
      <w:r w:rsidR="00C009F0">
        <w:t xml:space="preserve"> - s</w:t>
      </w:r>
      <w:r>
        <w:t xml:space="preserve">uspicion is enough; </w:t>
      </w:r>
    </w:p>
    <w:p w14:paraId="3062E72F" w14:textId="0C21420E" w:rsidR="0081034F" w:rsidRDefault="00C11A0A" w:rsidP="009D5026">
      <w:pPr>
        <w:pStyle w:val="BodyText"/>
        <w:numPr>
          <w:ilvl w:val="0"/>
          <w:numId w:val="9"/>
        </w:numPr>
        <w:spacing w:before="3"/>
      </w:pPr>
      <w:r>
        <w:t>Offences:</w:t>
      </w:r>
    </w:p>
    <w:p w14:paraId="6B96AC06" w14:textId="77777777" w:rsidR="009A2BE8" w:rsidRDefault="009A2BE8" w:rsidP="009A2BE8">
      <w:pPr>
        <w:pStyle w:val="BodyText"/>
        <w:numPr>
          <w:ilvl w:val="1"/>
          <w:numId w:val="9"/>
        </w:numPr>
        <w:spacing w:before="3"/>
      </w:pPr>
      <w:r>
        <w:t>It is an offence to conceal, disguise, convert or transfer criminal property.</w:t>
      </w:r>
    </w:p>
    <w:p w14:paraId="0E524E9B" w14:textId="48C5400F" w:rsidR="009A2BE8" w:rsidRDefault="009A2BE8" w:rsidP="009A2BE8">
      <w:pPr>
        <w:pStyle w:val="BodyText"/>
        <w:numPr>
          <w:ilvl w:val="1"/>
          <w:numId w:val="9"/>
        </w:numPr>
        <w:spacing w:before="3"/>
      </w:pPr>
      <w:r>
        <w:t xml:space="preserve">It is an offence to enter into or become concerned in an arrangement if you know or suspect this </w:t>
      </w:r>
    </w:p>
    <w:p w14:paraId="069E3D7F" w14:textId="77777777" w:rsidR="009A2BE8" w:rsidRDefault="009A2BE8" w:rsidP="009A2BE8">
      <w:pPr>
        <w:pStyle w:val="BodyText"/>
        <w:spacing w:before="3"/>
        <w:ind w:left="1440"/>
      </w:pPr>
      <w:r>
        <w:t xml:space="preserve">facilitates, by whatever means, the acquisition, retention, use or control of criminal property by or on </w:t>
      </w:r>
    </w:p>
    <w:p w14:paraId="7FA9D28D" w14:textId="77777777" w:rsidR="009A2BE8" w:rsidRDefault="009A2BE8" w:rsidP="009A2BE8">
      <w:pPr>
        <w:pStyle w:val="BodyText"/>
        <w:spacing w:before="3"/>
        <w:ind w:left="1440"/>
      </w:pPr>
      <w:r>
        <w:t>behalf of another person. Arguably this may present the most risk for those in the pensions industry.</w:t>
      </w:r>
    </w:p>
    <w:p w14:paraId="7228114F" w14:textId="415874CC" w:rsidR="009D5026" w:rsidRDefault="009A2BE8" w:rsidP="009A2BE8">
      <w:pPr>
        <w:pStyle w:val="BodyText"/>
        <w:numPr>
          <w:ilvl w:val="1"/>
          <w:numId w:val="9"/>
        </w:numPr>
        <w:spacing w:before="3"/>
      </w:pPr>
      <w:r>
        <w:t>It can be an offence to acquire, use or simply possess tainted funds.</w:t>
      </w:r>
    </w:p>
    <w:p w14:paraId="79858E26" w14:textId="77777777" w:rsidR="009A2BE8" w:rsidRDefault="009A2BE8" w:rsidP="009A2BE8">
      <w:pPr>
        <w:pStyle w:val="BodyText"/>
        <w:spacing w:before="3"/>
        <w:ind w:left="1440"/>
      </w:pPr>
    </w:p>
    <w:p w14:paraId="5A436E26" w14:textId="7D4AC0F9" w:rsidR="009D5026" w:rsidRDefault="009D5026" w:rsidP="009D5026">
      <w:pPr>
        <w:pStyle w:val="BodyText"/>
        <w:ind w:left="527"/>
      </w:pPr>
      <w:r>
        <w:t xml:space="preserve">(Relevant section of the manual is Part </w:t>
      </w:r>
      <w:r w:rsidR="00E760C3">
        <w:t>3</w:t>
      </w:r>
      <w:r>
        <w:t xml:space="preserve"> Chapter </w:t>
      </w:r>
      <w:r w:rsidR="00B11469">
        <w:t>1.</w:t>
      </w:r>
      <w:r w:rsidR="00E760C3">
        <w:t>6</w:t>
      </w:r>
      <w:r>
        <w:t>)</w:t>
      </w:r>
    </w:p>
    <w:p w14:paraId="0AE674AA" w14:textId="77777777" w:rsidR="00B11469" w:rsidRDefault="00B11469" w:rsidP="009D5026">
      <w:pPr>
        <w:pStyle w:val="BodyText"/>
        <w:ind w:left="527"/>
      </w:pPr>
    </w:p>
    <w:p w14:paraId="4FCB8592" w14:textId="1F777EBB" w:rsidR="00C344E3" w:rsidRDefault="00C344E3">
      <w:pPr>
        <w:pStyle w:val="BodyText"/>
        <w:ind w:left="527"/>
      </w:pPr>
    </w:p>
    <w:p w14:paraId="6BDD1534" w14:textId="18CC64E2" w:rsidR="00E91786" w:rsidRDefault="00E91786"/>
    <w:p w14:paraId="7446FD40" w14:textId="626E8792" w:rsidR="0081034F" w:rsidRDefault="0081034F"/>
    <w:p w14:paraId="4553C7AD" w14:textId="3A20174F" w:rsidR="0081034F" w:rsidRDefault="0081034F"/>
    <w:p w14:paraId="7C2AF4E8" w14:textId="170265DD" w:rsidR="0081034F" w:rsidRDefault="0081034F"/>
    <w:p w14:paraId="7DD18958" w14:textId="77777777" w:rsidR="00B11469" w:rsidRDefault="00B11469"/>
    <w:p w14:paraId="3EF1E8B4" w14:textId="6ABCA59B" w:rsidR="00C344E3" w:rsidRDefault="007A5139">
      <w:pPr>
        <w:pStyle w:val="Heading1"/>
        <w:numPr>
          <w:ilvl w:val="0"/>
          <w:numId w:val="4"/>
        </w:numPr>
        <w:tabs>
          <w:tab w:val="left" w:pos="527"/>
          <w:tab w:val="left" w:pos="528"/>
        </w:tabs>
        <w:spacing w:before="1"/>
        <w:ind w:left="527" w:hanging="428"/>
      </w:pPr>
      <w:r>
        <w:t xml:space="preserve">What are </w:t>
      </w:r>
      <w:r w:rsidR="007F36EB">
        <w:t>“</w:t>
      </w:r>
      <w:r>
        <w:t>authorised payments</w:t>
      </w:r>
      <w:r w:rsidR="000C3C51">
        <w:t>”</w:t>
      </w:r>
      <w:r>
        <w:t>, and</w:t>
      </w:r>
      <w:r w:rsidR="002823F8">
        <w:t xml:space="preserve"> what tax charges </w:t>
      </w:r>
      <w:r w:rsidR="000C3C51">
        <w:t>“</w:t>
      </w:r>
      <w:proofErr w:type="spellStart"/>
      <w:r w:rsidR="000C3C51">
        <w:t>unauthorised</w:t>
      </w:r>
      <w:proofErr w:type="spellEnd"/>
      <w:r w:rsidR="000C3C51">
        <w:t xml:space="preserve"> payments”</w:t>
      </w:r>
      <w:r w:rsidR="002823F8">
        <w:t xml:space="preserve"> attract?</w:t>
      </w:r>
    </w:p>
    <w:p w14:paraId="4E44351E" w14:textId="77777777" w:rsidR="00D72E29" w:rsidRDefault="00D72E29" w:rsidP="00EC5327">
      <w:pPr>
        <w:spacing w:before="34"/>
        <w:ind w:left="8021"/>
        <w:rPr>
          <w:b/>
          <w:sz w:val="18"/>
        </w:rPr>
      </w:pPr>
    </w:p>
    <w:p w14:paraId="7D97FDCB" w14:textId="67A8B568" w:rsidR="00C344E3" w:rsidRPr="00EC5327" w:rsidRDefault="00C739BD" w:rsidP="00EC5327">
      <w:pPr>
        <w:spacing w:before="34"/>
        <w:ind w:left="8021"/>
        <w:rPr>
          <w:b/>
          <w:sz w:val="18"/>
        </w:rPr>
      </w:pPr>
      <w:r>
        <w:rPr>
          <w:b/>
          <w:sz w:val="18"/>
        </w:rPr>
        <w:t>10 marks</w:t>
      </w:r>
    </w:p>
    <w:p w14:paraId="5F424DEE" w14:textId="54C0E0BE" w:rsidR="00DF0CCF" w:rsidRDefault="00C739BD">
      <w:pPr>
        <w:pStyle w:val="BodyText"/>
        <w:spacing w:before="64"/>
        <w:ind w:left="527"/>
      </w:pPr>
      <w:r>
        <w:t>Answer should cover:</w:t>
      </w:r>
    </w:p>
    <w:p w14:paraId="01E3B253" w14:textId="66BFE239" w:rsidR="007F36EB" w:rsidRDefault="002823F8" w:rsidP="00F845AB">
      <w:pPr>
        <w:pStyle w:val="BodyText"/>
        <w:numPr>
          <w:ilvl w:val="0"/>
          <w:numId w:val="22"/>
        </w:numPr>
        <w:spacing w:before="9"/>
      </w:pPr>
      <w:r>
        <w:t>Finance Act 2004</w:t>
      </w:r>
      <w:r w:rsidR="00F00A67">
        <w:t xml:space="preserve"> </w:t>
      </w:r>
      <w:r w:rsidR="00DD44A1">
        <w:t>pre</w:t>
      </w:r>
      <w:r w:rsidR="00F00A67">
        <w:t>scribes certain payment that can be made without a tax charge (over and above normal Income Tax on pensions)</w:t>
      </w:r>
      <w:r w:rsidR="007F36EB">
        <w:t>;</w:t>
      </w:r>
    </w:p>
    <w:p w14:paraId="6C02D331" w14:textId="24EF5569" w:rsidR="00F845AB" w:rsidRDefault="007F36EB" w:rsidP="00F845AB">
      <w:pPr>
        <w:pStyle w:val="BodyText"/>
        <w:numPr>
          <w:ilvl w:val="0"/>
          <w:numId w:val="22"/>
        </w:numPr>
        <w:spacing w:before="9"/>
      </w:pPr>
      <w:r>
        <w:t xml:space="preserve">Types of authorised </w:t>
      </w:r>
      <w:r w:rsidR="00DD44A1">
        <w:t>payments</w:t>
      </w:r>
      <w:r w:rsidR="00F845AB">
        <w:t>:</w:t>
      </w:r>
    </w:p>
    <w:p w14:paraId="7307D20F" w14:textId="64FFCADF" w:rsidR="00F845AB" w:rsidRDefault="00F5672D" w:rsidP="00F845AB">
      <w:pPr>
        <w:pStyle w:val="BodyText"/>
        <w:numPr>
          <w:ilvl w:val="1"/>
          <w:numId w:val="22"/>
        </w:numPr>
        <w:spacing w:before="9"/>
      </w:pPr>
      <w:r>
        <w:t>p</w:t>
      </w:r>
      <w:r w:rsidR="00DD44A1">
        <w:t>ensions and pension death benefits</w:t>
      </w:r>
      <w:r w:rsidR="00F845AB">
        <w:t>;</w:t>
      </w:r>
    </w:p>
    <w:p w14:paraId="777CC5E5" w14:textId="3741E5E1" w:rsidR="00F845AB" w:rsidRDefault="00F5672D" w:rsidP="00F845AB">
      <w:pPr>
        <w:pStyle w:val="BodyText"/>
        <w:numPr>
          <w:ilvl w:val="1"/>
          <w:numId w:val="22"/>
        </w:numPr>
        <w:spacing w:before="9"/>
      </w:pPr>
      <w:r>
        <w:t>lump sums and lump sum death benefits;</w:t>
      </w:r>
    </w:p>
    <w:p w14:paraId="5B7E38D0" w14:textId="77777777" w:rsidR="00F5672D" w:rsidRDefault="00F5672D" w:rsidP="00F5672D">
      <w:pPr>
        <w:pStyle w:val="BodyText"/>
        <w:numPr>
          <w:ilvl w:val="1"/>
          <w:numId w:val="22"/>
        </w:numPr>
        <w:spacing w:before="9"/>
      </w:pPr>
      <w:r>
        <w:t xml:space="preserve">transfers to other registered pension arrangements or to a ‘qualifying </w:t>
      </w:r>
      <w:proofErr w:type="spellStart"/>
      <w:r>
        <w:t>recognised</w:t>
      </w:r>
      <w:proofErr w:type="spellEnd"/>
      <w:r>
        <w:t xml:space="preserve"> overseas pension </w:t>
      </w:r>
    </w:p>
    <w:p w14:paraId="14565AEF" w14:textId="77777777" w:rsidR="00F5672D" w:rsidRDefault="00F5672D" w:rsidP="00F5672D">
      <w:pPr>
        <w:pStyle w:val="BodyText"/>
        <w:spacing w:before="9"/>
        <w:ind w:left="1440"/>
      </w:pPr>
      <w:r>
        <w:t>scheme’ (QROPS);</w:t>
      </w:r>
    </w:p>
    <w:p w14:paraId="4FEB2E5B" w14:textId="73E4D85B" w:rsidR="00F5672D" w:rsidRDefault="00F5672D" w:rsidP="00F5672D">
      <w:pPr>
        <w:pStyle w:val="BodyText"/>
        <w:numPr>
          <w:ilvl w:val="1"/>
          <w:numId w:val="22"/>
        </w:numPr>
        <w:spacing w:before="9"/>
      </w:pPr>
      <w:r>
        <w:t xml:space="preserve">certain ‘scheme administration’ payments; </w:t>
      </w:r>
    </w:p>
    <w:p w14:paraId="3B687272" w14:textId="266AB372" w:rsidR="00CB3494" w:rsidRDefault="00F5672D" w:rsidP="00F5672D">
      <w:pPr>
        <w:pStyle w:val="BodyText"/>
        <w:numPr>
          <w:ilvl w:val="1"/>
          <w:numId w:val="22"/>
        </w:numPr>
        <w:spacing w:before="9"/>
      </w:pPr>
      <w:r>
        <w:t>payments pursuant to a pension sharing order</w:t>
      </w:r>
      <w:r>
        <w:t>.</w:t>
      </w:r>
    </w:p>
    <w:p w14:paraId="1163863A" w14:textId="27ABACD2" w:rsidR="00CB3494" w:rsidRDefault="00F5672D" w:rsidP="00CB3494">
      <w:pPr>
        <w:pStyle w:val="BodyText"/>
        <w:numPr>
          <w:ilvl w:val="0"/>
          <w:numId w:val="22"/>
        </w:numPr>
        <w:spacing w:before="9"/>
      </w:pPr>
      <w:proofErr w:type="spellStart"/>
      <w:r>
        <w:t>Unauthorised</w:t>
      </w:r>
      <w:proofErr w:type="spellEnd"/>
      <w:r>
        <w:t xml:space="preserve"> payments</w:t>
      </w:r>
      <w:r w:rsidR="00CF1956">
        <w:t xml:space="preserve"> can generate up to four tax charges</w:t>
      </w:r>
      <w:r w:rsidR="00CB3494">
        <w:t>:</w:t>
      </w:r>
    </w:p>
    <w:p w14:paraId="5206CBAC" w14:textId="4BA19CE1" w:rsidR="00CF1956" w:rsidRDefault="006758E4" w:rsidP="00CF1956">
      <w:pPr>
        <w:pStyle w:val="BodyText"/>
        <w:numPr>
          <w:ilvl w:val="1"/>
          <w:numId w:val="22"/>
        </w:numPr>
        <w:spacing w:before="9"/>
      </w:pPr>
      <w:proofErr w:type="spellStart"/>
      <w:r>
        <w:t>U</w:t>
      </w:r>
      <w:r w:rsidR="00CF1956">
        <w:t>nauthorised</w:t>
      </w:r>
      <w:proofErr w:type="spellEnd"/>
      <w:r w:rsidR="00CF1956">
        <w:t xml:space="preserve"> payments charge — a tax charge at a rate of 40%, based on the value of the </w:t>
      </w:r>
    </w:p>
    <w:p w14:paraId="69C057C1" w14:textId="77777777" w:rsidR="00CF1956" w:rsidRDefault="00CF1956" w:rsidP="00CF1956">
      <w:pPr>
        <w:pStyle w:val="BodyText"/>
        <w:spacing w:before="9"/>
        <w:ind w:left="1440"/>
      </w:pPr>
      <w:proofErr w:type="spellStart"/>
      <w:r>
        <w:t>unauthorised</w:t>
      </w:r>
      <w:proofErr w:type="spellEnd"/>
      <w:r>
        <w:t xml:space="preserve"> payment</w:t>
      </w:r>
    </w:p>
    <w:p w14:paraId="59B54BBE" w14:textId="7D6EE83B" w:rsidR="00CF1956" w:rsidRDefault="006758E4" w:rsidP="00C57B66">
      <w:pPr>
        <w:pStyle w:val="BodyText"/>
        <w:numPr>
          <w:ilvl w:val="1"/>
          <w:numId w:val="22"/>
        </w:numPr>
        <w:spacing w:before="9"/>
      </w:pPr>
      <w:proofErr w:type="spellStart"/>
      <w:r>
        <w:t>U</w:t>
      </w:r>
      <w:r w:rsidR="00CF1956">
        <w:t>nauthorised</w:t>
      </w:r>
      <w:proofErr w:type="spellEnd"/>
      <w:r w:rsidR="00CF1956">
        <w:t xml:space="preserve"> payments surcharge — where 25% or more of the value of a member’s benefits is paid out in the form of an </w:t>
      </w:r>
      <w:proofErr w:type="spellStart"/>
      <w:r w:rsidR="00CF1956">
        <w:t>unauthorised</w:t>
      </w:r>
      <w:proofErr w:type="spellEnd"/>
      <w:r w:rsidR="00CF1956">
        <w:t xml:space="preserve"> payment an additional tax charge at a rate of 15% will be due, based on the value of the </w:t>
      </w:r>
      <w:proofErr w:type="spellStart"/>
      <w:r w:rsidR="00CF1956">
        <w:t>unauthorised</w:t>
      </w:r>
      <w:proofErr w:type="spellEnd"/>
      <w:r w:rsidR="00CF1956">
        <w:t xml:space="preserve"> payment</w:t>
      </w:r>
      <w:r w:rsidR="006140D2">
        <w:t>;</w:t>
      </w:r>
    </w:p>
    <w:p w14:paraId="67FEF7C0" w14:textId="26BC1222" w:rsidR="00CF1956" w:rsidRDefault="006758E4" w:rsidP="00CF1956">
      <w:pPr>
        <w:pStyle w:val="BodyText"/>
        <w:numPr>
          <w:ilvl w:val="1"/>
          <w:numId w:val="22"/>
        </w:numPr>
        <w:spacing w:before="9"/>
      </w:pPr>
      <w:r>
        <w:t>S</w:t>
      </w:r>
      <w:r w:rsidR="00CF1956">
        <w:t xml:space="preserve">cheme sanction charge — a tax charge on the Scheme Administrator. The scheme sanction charge </w:t>
      </w:r>
    </w:p>
    <w:p w14:paraId="4E0C0F42" w14:textId="79B8CA20" w:rsidR="00CF1956" w:rsidRDefault="00CF1956" w:rsidP="006140D2">
      <w:pPr>
        <w:pStyle w:val="BodyText"/>
        <w:spacing w:before="9"/>
        <w:ind w:left="1440"/>
      </w:pPr>
      <w:r>
        <w:t xml:space="preserve">is due on most </w:t>
      </w:r>
      <w:proofErr w:type="spellStart"/>
      <w:r>
        <w:t>unauthorised</w:t>
      </w:r>
      <w:proofErr w:type="spellEnd"/>
      <w:r>
        <w:t xml:space="preserve"> payments</w:t>
      </w:r>
      <w:r w:rsidR="006758E4">
        <w:t xml:space="preserve"> and</w:t>
      </w:r>
      <w:r>
        <w:t xml:space="preserve"> the tax rate is normally 15% of the value of the payment, but this increases to 40% if HMRC have been unable to recover the </w:t>
      </w:r>
      <w:proofErr w:type="spellStart"/>
      <w:r>
        <w:t>unauthorised</w:t>
      </w:r>
      <w:proofErr w:type="spellEnd"/>
      <w:r>
        <w:t xml:space="preserve"> payments charge from the recipient.</w:t>
      </w:r>
    </w:p>
    <w:p w14:paraId="3FB23E4E" w14:textId="61F7A8A0" w:rsidR="00CF1956" w:rsidRDefault="006758E4" w:rsidP="00CF1956">
      <w:pPr>
        <w:pStyle w:val="BodyText"/>
        <w:numPr>
          <w:ilvl w:val="1"/>
          <w:numId w:val="22"/>
        </w:numPr>
        <w:spacing w:before="9"/>
      </w:pPr>
      <w:r>
        <w:t>D</w:t>
      </w:r>
      <w:r w:rsidR="00CF1956">
        <w:t xml:space="preserve">eregistration charge (rare) — if a scheme pays out more than 25% of its assets in the form </w:t>
      </w:r>
    </w:p>
    <w:p w14:paraId="340CFC52" w14:textId="3667715D" w:rsidR="00CF1956" w:rsidRDefault="00CF1956" w:rsidP="006758E4">
      <w:pPr>
        <w:pStyle w:val="BodyText"/>
        <w:spacing w:before="9"/>
        <w:ind w:left="1440"/>
      </w:pPr>
      <w:r>
        <w:t xml:space="preserve">of </w:t>
      </w:r>
      <w:proofErr w:type="spellStart"/>
      <w:r>
        <w:t>unauthorised</w:t>
      </w:r>
      <w:proofErr w:type="spellEnd"/>
      <w:r>
        <w:t xml:space="preserve"> payments in any year then it may have its registration withdrawn</w:t>
      </w:r>
      <w:r w:rsidR="003C649A">
        <w:t xml:space="preserve"> and</w:t>
      </w:r>
      <w:r>
        <w:t xml:space="preserve"> a </w:t>
      </w:r>
    </w:p>
    <w:p w14:paraId="58AC4D8D" w14:textId="3974CC49" w:rsidR="009D5026" w:rsidRDefault="00CF1956" w:rsidP="006758E4">
      <w:pPr>
        <w:pStyle w:val="BodyText"/>
        <w:spacing w:before="9"/>
        <w:ind w:left="1440"/>
      </w:pPr>
      <w:r>
        <w:t>deregistration charge will be applied equal to 40% of the value of the scheme’s assets</w:t>
      </w:r>
      <w:r w:rsidR="003C649A">
        <w:t>.</w:t>
      </w:r>
    </w:p>
    <w:p w14:paraId="79868C22" w14:textId="77777777" w:rsidR="00CB3494" w:rsidRPr="009D5026" w:rsidRDefault="00CB3494" w:rsidP="00CB3494">
      <w:pPr>
        <w:pStyle w:val="BodyText"/>
        <w:spacing w:before="9"/>
        <w:ind w:left="1440"/>
      </w:pPr>
    </w:p>
    <w:p w14:paraId="73FFBD93" w14:textId="4114C254" w:rsidR="00C344E3" w:rsidRDefault="00C739BD">
      <w:pPr>
        <w:pStyle w:val="BodyText"/>
        <w:ind w:left="527"/>
      </w:pPr>
      <w:r>
        <w:t xml:space="preserve">(Relevant section of the manual is Part </w:t>
      </w:r>
      <w:r w:rsidR="003C649A">
        <w:t>1</w:t>
      </w:r>
      <w:r>
        <w:t xml:space="preserve"> Chapter </w:t>
      </w:r>
      <w:r w:rsidR="00732EE6">
        <w:t>1.5.1</w:t>
      </w:r>
      <w:r>
        <w:t>)</w:t>
      </w:r>
    </w:p>
    <w:p w14:paraId="1A9C838A" w14:textId="77777777" w:rsidR="00C344E3" w:rsidRDefault="00C344E3"/>
    <w:p w14:paraId="1CA8634A" w14:textId="77777777" w:rsidR="00D72E29" w:rsidRDefault="00D72E29"/>
    <w:p w14:paraId="62BAE924" w14:textId="77777777" w:rsidR="00C344E3" w:rsidRDefault="00C344E3">
      <w:pPr>
        <w:rPr>
          <w:sz w:val="15"/>
        </w:rPr>
        <w:sectPr w:rsidR="00C344E3">
          <w:headerReference w:type="default" r:id="rId7"/>
          <w:footerReference w:type="default" r:id="rId8"/>
          <w:pgSz w:w="11910" w:h="16840"/>
          <w:pgMar w:top="2200" w:right="1600" w:bottom="640" w:left="1340" w:header="167" w:footer="451" w:gutter="0"/>
          <w:cols w:space="720"/>
        </w:sectPr>
      </w:pPr>
    </w:p>
    <w:p w14:paraId="6C0224C9" w14:textId="4416A3E7" w:rsidR="00424994" w:rsidRDefault="003E4033" w:rsidP="00424994">
      <w:pPr>
        <w:pStyle w:val="Heading1"/>
        <w:numPr>
          <w:ilvl w:val="0"/>
          <w:numId w:val="4"/>
        </w:numPr>
        <w:tabs>
          <w:tab w:val="left" w:pos="460"/>
          <w:tab w:val="left" w:pos="461"/>
        </w:tabs>
        <w:spacing w:line="276" w:lineRule="auto"/>
        <w:ind w:right="352"/>
      </w:pPr>
      <w:r>
        <w:t>In relation to the cessation of contracting-out</w:t>
      </w:r>
      <w:r w:rsidR="00BA4DCC">
        <w:t>, outline how the increase in National Insurance Contributions (NICs) can be recovered</w:t>
      </w:r>
      <w:r w:rsidR="0002339A">
        <w:t xml:space="preserve"> by an employer</w:t>
      </w:r>
      <w:r w:rsidR="00B11469">
        <w:t xml:space="preserve">. </w:t>
      </w:r>
    </w:p>
    <w:p w14:paraId="294A2224" w14:textId="77777777" w:rsidR="00424994" w:rsidRPr="00EC5327" w:rsidRDefault="00424994" w:rsidP="00424994">
      <w:pPr>
        <w:spacing w:line="218" w:lineRule="exact"/>
        <w:ind w:right="353"/>
        <w:jc w:val="right"/>
        <w:rPr>
          <w:b/>
          <w:sz w:val="18"/>
        </w:rPr>
      </w:pPr>
      <w:r>
        <w:rPr>
          <w:b/>
          <w:sz w:val="18"/>
        </w:rPr>
        <w:t>10 marks</w:t>
      </w:r>
    </w:p>
    <w:p w14:paraId="1C0C80F1" w14:textId="77777777" w:rsidR="00424994" w:rsidRDefault="00424994" w:rsidP="00424994">
      <w:pPr>
        <w:pStyle w:val="BodyText"/>
        <w:spacing w:before="64"/>
        <w:ind w:left="527"/>
      </w:pPr>
      <w:r>
        <w:t>Answer should cover:</w:t>
      </w:r>
    </w:p>
    <w:p w14:paraId="26BB6A6E" w14:textId="77777777" w:rsidR="00424994" w:rsidRDefault="00424994" w:rsidP="00424994">
      <w:pPr>
        <w:pStyle w:val="BodyText"/>
        <w:spacing w:before="11"/>
        <w:rPr>
          <w:sz w:val="17"/>
        </w:rPr>
      </w:pPr>
    </w:p>
    <w:p w14:paraId="1E8DC9B8" w14:textId="77777777" w:rsidR="00567938" w:rsidRDefault="00567938" w:rsidP="00567938">
      <w:pPr>
        <w:pStyle w:val="BodyText"/>
        <w:numPr>
          <w:ilvl w:val="0"/>
          <w:numId w:val="5"/>
        </w:numPr>
        <w:spacing w:before="11"/>
      </w:pPr>
      <w:r>
        <w:t xml:space="preserve">Some employers have provisions in their scheme rules to enable them to amend their schemes to recover </w:t>
      </w:r>
    </w:p>
    <w:p w14:paraId="135AC226" w14:textId="40805EF3" w:rsidR="00CB3494" w:rsidRDefault="00567938" w:rsidP="00567938">
      <w:pPr>
        <w:pStyle w:val="BodyText"/>
        <w:numPr>
          <w:ilvl w:val="0"/>
          <w:numId w:val="5"/>
        </w:numPr>
        <w:spacing w:before="11"/>
      </w:pPr>
      <w:r>
        <w:t>this additional cost</w:t>
      </w:r>
      <w:r w:rsidR="00CB3494">
        <w:t xml:space="preserve">: </w:t>
      </w:r>
    </w:p>
    <w:p w14:paraId="0DFE1D15" w14:textId="04264C60" w:rsidR="00567938" w:rsidRDefault="00567938" w:rsidP="00567938">
      <w:pPr>
        <w:pStyle w:val="BodyText"/>
        <w:numPr>
          <w:ilvl w:val="0"/>
          <w:numId w:val="5"/>
        </w:numPr>
        <w:spacing w:before="11"/>
      </w:pPr>
      <w:r>
        <w:t>O</w:t>
      </w:r>
      <w:r>
        <w:t xml:space="preserve">thers will be prevented from making such changes by their scheme rules or the </w:t>
      </w:r>
    </w:p>
    <w:p w14:paraId="5B25EFEB" w14:textId="77777777" w:rsidR="00495BD3" w:rsidRDefault="00326E01" w:rsidP="00567938">
      <w:pPr>
        <w:pStyle w:val="BodyText"/>
        <w:numPr>
          <w:ilvl w:val="0"/>
          <w:numId w:val="5"/>
        </w:numPr>
        <w:spacing w:before="11"/>
      </w:pPr>
      <w:r>
        <w:t xml:space="preserve">Statutory override </w:t>
      </w:r>
      <w:r w:rsidR="00BE57C3">
        <w:t>:</w:t>
      </w:r>
    </w:p>
    <w:p w14:paraId="5EA24A4F" w14:textId="59720015" w:rsidR="00CB3494" w:rsidRDefault="00FA7565" w:rsidP="00495BD3">
      <w:pPr>
        <w:pStyle w:val="BodyText"/>
        <w:numPr>
          <w:ilvl w:val="1"/>
          <w:numId w:val="5"/>
        </w:numPr>
        <w:spacing w:before="11"/>
      </w:pPr>
      <w:r>
        <w:t xml:space="preserve">Pensions Act 2014 S24(2) gives employers sponsoring CORS schemes </w:t>
      </w:r>
      <w:r w:rsidR="00551230">
        <w:t>power to amend scheme rules to adjust for the increased NIC liability</w:t>
      </w:r>
      <w:r w:rsidR="00CB3494">
        <w:t xml:space="preserve">; </w:t>
      </w:r>
    </w:p>
    <w:p w14:paraId="057A0D2F" w14:textId="6AC44BD3" w:rsidR="00495BD3" w:rsidRDefault="004362B9" w:rsidP="00495BD3">
      <w:pPr>
        <w:pStyle w:val="BodyText"/>
        <w:numPr>
          <w:ilvl w:val="1"/>
          <w:numId w:val="5"/>
        </w:numPr>
        <w:spacing w:before="11"/>
      </w:pPr>
      <w:r>
        <w:t>Changes may be made either to increase employee contributions or reduce the future accrual of benefits in respect of the scheme members</w:t>
      </w:r>
      <w:r>
        <w:t>;</w:t>
      </w:r>
    </w:p>
    <w:p w14:paraId="079DCFB2" w14:textId="4DCB4CDD" w:rsidR="00502DA7" w:rsidRDefault="00502DA7" w:rsidP="00495BD3">
      <w:pPr>
        <w:pStyle w:val="BodyText"/>
        <w:numPr>
          <w:ilvl w:val="1"/>
          <w:numId w:val="5"/>
        </w:numPr>
        <w:spacing w:before="11"/>
      </w:pPr>
      <w:r>
        <w:t>Actuarial certificate required to reduce future accrual;</w:t>
      </w:r>
    </w:p>
    <w:p w14:paraId="03BC7B9C" w14:textId="7F6D6A6A" w:rsidR="004362B9" w:rsidRDefault="004362B9" w:rsidP="00495BD3">
      <w:pPr>
        <w:pStyle w:val="BodyText"/>
        <w:numPr>
          <w:ilvl w:val="1"/>
          <w:numId w:val="5"/>
        </w:numPr>
        <w:spacing w:before="11"/>
      </w:pPr>
      <w:r>
        <w:t>E</w:t>
      </w:r>
      <w:r>
        <w:t>xtent to which employer can amend the scheme rules using the statutory override limited to that estimated as matching the amount of increase in the employer’s NICs</w:t>
      </w:r>
      <w:r>
        <w:t>;</w:t>
      </w:r>
    </w:p>
    <w:p w14:paraId="2398689C" w14:textId="30C878B8" w:rsidR="001918AE" w:rsidRDefault="001918AE" w:rsidP="00495BD3">
      <w:pPr>
        <w:pStyle w:val="BodyText"/>
        <w:numPr>
          <w:ilvl w:val="1"/>
          <w:numId w:val="5"/>
        </w:numPr>
        <w:spacing w:before="11"/>
      </w:pPr>
      <w:r>
        <w:t>Applies regardless of scheme rules and trustee consent not required</w:t>
      </w:r>
      <w:r w:rsidR="00701809">
        <w:t>;</w:t>
      </w:r>
    </w:p>
    <w:p w14:paraId="13B1F9D8" w14:textId="77777777" w:rsidR="00462A5D" w:rsidRDefault="007235A6" w:rsidP="00CB3494">
      <w:pPr>
        <w:pStyle w:val="BodyText"/>
        <w:numPr>
          <w:ilvl w:val="0"/>
          <w:numId w:val="5"/>
        </w:numPr>
        <w:spacing w:before="11"/>
      </w:pPr>
      <w:r>
        <w:t xml:space="preserve">New </w:t>
      </w:r>
      <w:r w:rsidR="00462A5D">
        <w:t>Regulations:</w:t>
      </w:r>
    </w:p>
    <w:p w14:paraId="2D01783C" w14:textId="5B1E2F76" w:rsidR="00CB3494" w:rsidRDefault="00462A5D" w:rsidP="00462A5D">
      <w:pPr>
        <w:pStyle w:val="BodyText"/>
        <w:numPr>
          <w:ilvl w:val="1"/>
          <w:numId w:val="5"/>
        </w:numPr>
        <w:spacing w:before="11"/>
      </w:pPr>
      <w:r>
        <w:t>The Occupational Pension Schemes (Power to Amend Schemes to Reflect Abolition of Contracting-out) Regulations 2015</w:t>
      </w:r>
      <w:r>
        <w:t xml:space="preserve">, effective </w:t>
      </w:r>
      <w:r w:rsidR="00B72DBA">
        <w:t>6 April 2015</w:t>
      </w:r>
      <w:r w:rsidR="00CB3494">
        <w:t>;</w:t>
      </w:r>
    </w:p>
    <w:p w14:paraId="6A86ED87" w14:textId="1690373D" w:rsidR="002A12DE" w:rsidRDefault="00B72DBA" w:rsidP="00B72DBA">
      <w:pPr>
        <w:pStyle w:val="BodyText"/>
        <w:numPr>
          <w:ilvl w:val="1"/>
          <w:numId w:val="5"/>
        </w:numPr>
        <w:spacing w:before="11"/>
      </w:pPr>
      <w:r>
        <w:t>The Occupational Pension Schemes (Schemes that were Contracted-out) Regulations</w:t>
      </w:r>
      <w:r>
        <w:t>, effective 6 April 2016</w:t>
      </w:r>
      <w:r w:rsidR="002A12DE">
        <w:t>;</w:t>
      </w:r>
    </w:p>
    <w:p w14:paraId="652873A5" w14:textId="61EEBE00" w:rsidR="002A12DE" w:rsidRDefault="006E7988" w:rsidP="00CB3494">
      <w:pPr>
        <w:pStyle w:val="BodyText"/>
        <w:numPr>
          <w:ilvl w:val="0"/>
          <w:numId w:val="5"/>
        </w:numPr>
        <w:spacing w:before="11"/>
      </w:pPr>
      <w:r>
        <w:t>Most employers will seek to offset the extra cost</w:t>
      </w:r>
      <w:r w:rsidR="00502DA7">
        <w:t xml:space="preserve"> or </w:t>
      </w:r>
      <w:r w:rsidR="009964F5">
        <w:t>implement wider scheme ch</w:t>
      </w:r>
      <w:r w:rsidR="005945AF">
        <w:t>anges to reduce scheme costs.</w:t>
      </w:r>
    </w:p>
    <w:p w14:paraId="5D61FBF0" w14:textId="1CAF1D9E" w:rsidR="00424994" w:rsidRDefault="00424994" w:rsidP="00E90B5D">
      <w:pPr>
        <w:pStyle w:val="BodyText"/>
        <w:spacing w:before="11"/>
        <w:ind w:left="720"/>
        <w:rPr>
          <w:sz w:val="21"/>
        </w:rPr>
      </w:pPr>
    </w:p>
    <w:p w14:paraId="5263C150" w14:textId="2329C91A" w:rsidR="00D72E29" w:rsidRDefault="00424994" w:rsidP="00B11469">
      <w:pPr>
        <w:pStyle w:val="BodyText"/>
        <w:ind w:left="527"/>
      </w:pPr>
      <w:r>
        <w:t xml:space="preserve">(Relevant section of the manual is Part </w:t>
      </w:r>
      <w:r w:rsidR="00500EA0">
        <w:t>6</w:t>
      </w:r>
      <w:r>
        <w:t xml:space="preserve"> Chapter 1.</w:t>
      </w:r>
      <w:r w:rsidR="00E90B5D">
        <w:t>2</w:t>
      </w:r>
      <w:r w:rsidR="003E4033">
        <w:t>.1</w:t>
      </w:r>
      <w:r>
        <w:t>)</w:t>
      </w:r>
    </w:p>
    <w:p w14:paraId="7D9E9CC9" w14:textId="77777777" w:rsidR="00D72E29" w:rsidRDefault="00D72E29" w:rsidP="00AB46AC">
      <w:pPr>
        <w:pStyle w:val="BodyText"/>
      </w:pPr>
    </w:p>
    <w:sectPr w:rsidR="00D72E29" w:rsidSect="00B11469">
      <w:headerReference w:type="default" r:id="rId9"/>
      <w:footerReference w:type="default" r:id="rId10"/>
      <w:type w:val="continuous"/>
      <w:pgSz w:w="11910" w:h="16840"/>
      <w:pgMar w:top="2200" w:right="160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F9EA" w14:textId="77777777" w:rsidR="00514AF0" w:rsidRDefault="00514AF0">
      <w:r>
        <w:separator/>
      </w:r>
    </w:p>
  </w:endnote>
  <w:endnote w:type="continuationSeparator" w:id="0">
    <w:p w14:paraId="2D6C319E" w14:textId="77777777" w:rsidR="00514AF0" w:rsidRDefault="0051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950A" w14:textId="58D170FB" w:rsidR="00C344E3" w:rsidRDefault="00C344E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6C83" w14:textId="77777777" w:rsidR="00424994" w:rsidRDefault="004249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A3A7" w14:textId="77777777" w:rsidR="00514AF0" w:rsidRDefault="00514AF0">
      <w:r>
        <w:separator/>
      </w:r>
    </w:p>
  </w:footnote>
  <w:footnote w:type="continuationSeparator" w:id="0">
    <w:p w14:paraId="6CC12C8D" w14:textId="77777777" w:rsidR="00514AF0" w:rsidRDefault="0051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60F" w14:textId="4F87FB8F" w:rsidR="00D13ED5" w:rsidRDefault="00D13ED5" w:rsidP="00D13ED5">
    <w:pPr>
      <w:jc w:val="right"/>
      <w:rPr>
        <w:rFonts w:asciiTheme="minorHAnsi" w:eastAsiaTheme="minorHAnsi" w:hAnsiTheme="minorHAnsi" w:cstheme="minorBidi"/>
        <w:b/>
        <w:bCs/>
      </w:rPr>
    </w:pPr>
    <w:r>
      <w:rPr>
        <w:rFonts w:asciiTheme="minorHAnsi" w:eastAsiaTheme="minorHAnsi" w:hAnsiTheme="minorHAnsi" w:cstheme="minorBidi"/>
        <w:noProof/>
      </w:rPr>
      <w:drawing>
        <wp:anchor distT="0" distB="0" distL="114300" distR="114300" simplePos="0" relativeHeight="487491072" behindDoc="0" locked="0" layoutInCell="1" allowOverlap="1" wp14:anchorId="7EE8DC43" wp14:editId="0D0D3A73">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0EC4A0B3" w14:textId="77777777" w:rsidR="00D13ED5" w:rsidRDefault="00D13ED5" w:rsidP="00D13ED5">
    <w:pPr>
      <w:jc w:val="right"/>
      <w:rPr>
        <w:b/>
        <w:bCs/>
      </w:rPr>
    </w:pPr>
    <w:r>
      <w:t xml:space="preserve">60 Goswell Road </w:t>
    </w:r>
  </w:p>
  <w:p w14:paraId="28559EF0" w14:textId="77777777" w:rsidR="00D13ED5" w:rsidRDefault="00D13ED5" w:rsidP="00D13ED5">
    <w:pPr>
      <w:jc w:val="right"/>
      <w:rPr>
        <w:b/>
        <w:bCs/>
      </w:rPr>
    </w:pPr>
    <w:r>
      <w:t xml:space="preserve">London </w:t>
    </w:r>
  </w:p>
  <w:p w14:paraId="77BF2198" w14:textId="77777777" w:rsidR="00D13ED5" w:rsidRDefault="00D13ED5" w:rsidP="00D13ED5">
    <w:pPr>
      <w:jc w:val="right"/>
      <w:rPr>
        <w:b/>
        <w:bCs/>
      </w:rPr>
    </w:pPr>
    <w:r>
      <w:t xml:space="preserve">EC1M 7AD </w:t>
    </w:r>
  </w:p>
  <w:p w14:paraId="7A78BE33" w14:textId="77777777" w:rsidR="00D13ED5" w:rsidRDefault="00D13ED5" w:rsidP="00D13ED5">
    <w:pPr>
      <w:jc w:val="right"/>
      <w:rPr>
        <w:b/>
        <w:bCs/>
      </w:rPr>
    </w:pPr>
    <w:r>
      <w:t xml:space="preserve">T: +44 (0) 20 7247 1452 </w:t>
    </w:r>
  </w:p>
  <w:p w14:paraId="05259FA5" w14:textId="77777777" w:rsidR="00D13ED5" w:rsidRDefault="00D13ED5" w:rsidP="00D13ED5">
    <w:pPr>
      <w:jc w:val="right"/>
      <w:rPr>
        <w:b/>
        <w:bCs/>
      </w:rPr>
    </w:pPr>
    <w:r>
      <w:t>W: www.pensions-pmi.org.uk</w:t>
    </w:r>
  </w:p>
  <w:p w14:paraId="1121A08A" w14:textId="5996D440" w:rsidR="00C344E3" w:rsidRDefault="00C344E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BA01" w14:textId="77777777" w:rsidR="00424994" w:rsidRDefault="00424994">
    <w:pPr>
      <w:pStyle w:val="BodyText"/>
      <w:spacing w:line="14" w:lineRule="auto"/>
      <w:rPr>
        <w:sz w:val="20"/>
      </w:rPr>
    </w:pPr>
    <w:r>
      <w:rPr>
        <w:noProof/>
      </w:rPr>
      <w:drawing>
        <wp:anchor distT="0" distB="0" distL="114300" distR="114300" simplePos="0" relativeHeight="487489024" behindDoc="0" locked="0" layoutInCell="1" allowOverlap="1" wp14:anchorId="0E2B4D4B" wp14:editId="2E40E42E">
          <wp:simplePos x="0" y="0"/>
          <wp:positionH relativeFrom="margin">
            <wp:posOffset>0</wp:posOffset>
          </wp:positionH>
          <wp:positionV relativeFrom="paragraph">
            <wp:posOffset>6350</wp:posOffset>
          </wp:positionV>
          <wp:extent cx="2339975" cy="1282700"/>
          <wp:effectExtent l="0" t="0" r="317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92A"/>
    <w:multiLevelType w:val="hybridMultilevel"/>
    <w:tmpl w:val="EFC0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55A85"/>
    <w:multiLevelType w:val="hybridMultilevel"/>
    <w:tmpl w:val="C778F470"/>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2" w15:restartNumberingAfterBreak="0">
    <w:nsid w:val="0BAE4F6A"/>
    <w:multiLevelType w:val="hybridMultilevel"/>
    <w:tmpl w:val="56F4405A"/>
    <w:lvl w:ilvl="0" w:tplc="015A1164">
      <w:start w:val="10"/>
      <w:numFmt w:val="bullet"/>
      <w:lvlText w:val="-"/>
      <w:lvlJc w:val="left"/>
      <w:pPr>
        <w:ind w:left="1080" w:hanging="360"/>
      </w:pPr>
      <w:rPr>
        <w:rFonts w:ascii="Carlito" w:eastAsia="Carlito" w:hAnsi="Carlito" w:cs="Carlito"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921F0B"/>
    <w:multiLevelType w:val="hybridMultilevel"/>
    <w:tmpl w:val="F570901E"/>
    <w:lvl w:ilvl="0" w:tplc="0510AE02">
      <w:start w:val="10"/>
      <w:numFmt w:val="bullet"/>
      <w:lvlText w:val="-"/>
      <w:lvlJc w:val="left"/>
      <w:pPr>
        <w:ind w:left="1080" w:hanging="360"/>
      </w:pPr>
      <w:rPr>
        <w:rFonts w:ascii="Carlito" w:eastAsia="Carlito" w:hAnsi="Carlito" w:cs="Carlito"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8D3B55"/>
    <w:multiLevelType w:val="hybridMultilevel"/>
    <w:tmpl w:val="FDE00298"/>
    <w:lvl w:ilvl="0" w:tplc="EC9CBA82">
      <w:numFmt w:val="bullet"/>
      <w:lvlText w:val=""/>
      <w:lvlJc w:val="left"/>
      <w:pPr>
        <w:ind w:left="1540" w:hanging="360"/>
      </w:pPr>
      <w:rPr>
        <w:rFonts w:ascii="Symbol" w:eastAsia="Symbol" w:hAnsi="Symbol" w:cs="Symbol" w:hint="default"/>
        <w:w w:val="100"/>
        <w:sz w:val="18"/>
        <w:szCs w:val="18"/>
        <w:lang w:val="en-US" w:eastAsia="en-US" w:bidi="ar-SA"/>
      </w:rPr>
    </w:lvl>
    <w:lvl w:ilvl="1" w:tplc="A462E004">
      <w:numFmt w:val="bullet"/>
      <w:lvlText w:val="•"/>
      <w:lvlJc w:val="left"/>
      <w:pPr>
        <w:ind w:left="2282" w:hanging="360"/>
      </w:pPr>
      <w:rPr>
        <w:rFonts w:hint="default"/>
        <w:lang w:val="en-US" w:eastAsia="en-US" w:bidi="ar-SA"/>
      </w:rPr>
    </w:lvl>
    <w:lvl w:ilvl="2" w:tplc="B77216C8">
      <w:numFmt w:val="bullet"/>
      <w:lvlText w:val="•"/>
      <w:lvlJc w:val="left"/>
      <w:pPr>
        <w:ind w:left="3025" w:hanging="360"/>
      </w:pPr>
      <w:rPr>
        <w:rFonts w:hint="default"/>
        <w:lang w:val="en-US" w:eastAsia="en-US" w:bidi="ar-SA"/>
      </w:rPr>
    </w:lvl>
    <w:lvl w:ilvl="3" w:tplc="340CFF3C">
      <w:numFmt w:val="bullet"/>
      <w:lvlText w:val="•"/>
      <w:lvlJc w:val="left"/>
      <w:pPr>
        <w:ind w:left="3767" w:hanging="360"/>
      </w:pPr>
      <w:rPr>
        <w:rFonts w:hint="default"/>
        <w:lang w:val="en-US" w:eastAsia="en-US" w:bidi="ar-SA"/>
      </w:rPr>
    </w:lvl>
    <w:lvl w:ilvl="4" w:tplc="2982EC80">
      <w:numFmt w:val="bullet"/>
      <w:lvlText w:val="•"/>
      <w:lvlJc w:val="left"/>
      <w:pPr>
        <w:ind w:left="4510" w:hanging="360"/>
      </w:pPr>
      <w:rPr>
        <w:rFonts w:hint="default"/>
        <w:lang w:val="en-US" w:eastAsia="en-US" w:bidi="ar-SA"/>
      </w:rPr>
    </w:lvl>
    <w:lvl w:ilvl="5" w:tplc="76F05394">
      <w:numFmt w:val="bullet"/>
      <w:lvlText w:val="•"/>
      <w:lvlJc w:val="left"/>
      <w:pPr>
        <w:ind w:left="5253" w:hanging="360"/>
      </w:pPr>
      <w:rPr>
        <w:rFonts w:hint="default"/>
        <w:lang w:val="en-US" w:eastAsia="en-US" w:bidi="ar-SA"/>
      </w:rPr>
    </w:lvl>
    <w:lvl w:ilvl="6" w:tplc="BBCE6D98">
      <w:numFmt w:val="bullet"/>
      <w:lvlText w:val="•"/>
      <w:lvlJc w:val="left"/>
      <w:pPr>
        <w:ind w:left="5995" w:hanging="360"/>
      </w:pPr>
      <w:rPr>
        <w:rFonts w:hint="default"/>
        <w:lang w:val="en-US" w:eastAsia="en-US" w:bidi="ar-SA"/>
      </w:rPr>
    </w:lvl>
    <w:lvl w:ilvl="7" w:tplc="CE0AEB86">
      <w:numFmt w:val="bullet"/>
      <w:lvlText w:val="•"/>
      <w:lvlJc w:val="left"/>
      <w:pPr>
        <w:ind w:left="6738" w:hanging="360"/>
      </w:pPr>
      <w:rPr>
        <w:rFonts w:hint="default"/>
        <w:lang w:val="en-US" w:eastAsia="en-US" w:bidi="ar-SA"/>
      </w:rPr>
    </w:lvl>
    <w:lvl w:ilvl="8" w:tplc="1F7E8404">
      <w:numFmt w:val="bullet"/>
      <w:lvlText w:val="•"/>
      <w:lvlJc w:val="left"/>
      <w:pPr>
        <w:ind w:left="7481" w:hanging="360"/>
      </w:pPr>
      <w:rPr>
        <w:rFonts w:hint="default"/>
        <w:lang w:val="en-US" w:eastAsia="en-US" w:bidi="ar-SA"/>
      </w:rPr>
    </w:lvl>
  </w:abstractNum>
  <w:abstractNum w:abstractNumId="5" w15:restartNumberingAfterBreak="0">
    <w:nsid w:val="1351481A"/>
    <w:multiLevelType w:val="hybridMultilevel"/>
    <w:tmpl w:val="5A329C7E"/>
    <w:lvl w:ilvl="0" w:tplc="015A1164">
      <w:start w:val="10"/>
      <w:numFmt w:val="bullet"/>
      <w:lvlText w:val="-"/>
      <w:lvlJc w:val="left"/>
      <w:pPr>
        <w:ind w:left="1080" w:hanging="360"/>
      </w:pPr>
      <w:rPr>
        <w:rFonts w:ascii="Carlito" w:eastAsia="Carlito" w:hAnsi="Carlito" w:cs="Carlito"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3669FF"/>
    <w:multiLevelType w:val="hybridMultilevel"/>
    <w:tmpl w:val="29285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B04F00"/>
    <w:multiLevelType w:val="hybridMultilevel"/>
    <w:tmpl w:val="4FDAEAD4"/>
    <w:lvl w:ilvl="0" w:tplc="72DE2CB4">
      <w:start w:val="10"/>
      <w:numFmt w:val="bullet"/>
      <w:lvlText w:val="-"/>
      <w:lvlJc w:val="left"/>
      <w:pPr>
        <w:ind w:left="1080" w:hanging="360"/>
      </w:pPr>
      <w:rPr>
        <w:rFonts w:ascii="Carlito" w:eastAsia="Carlito" w:hAnsi="Carlito" w:cs="Carlito"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D206B7"/>
    <w:multiLevelType w:val="hybridMultilevel"/>
    <w:tmpl w:val="644293D4"/>
    <w:lvl w:ilvl="0" w:tplc="D2D01A6C">
      <w:numFmt w:val="bullet"/>
      <w:lvlText w:val="•"/>
      <w:lvlJc w:val="left"/>
      <w:pPr>
        <w:ind w:left="765" w:hanging="360"/>
      </w:pPr>
      <w:rPr>
        <w:rFonts w:hint="default"/>
        <w:lang w:val="en-US" w:eastAsia="en-US" w:bidi="ar-SA"/>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5501D40"/>
    <w:multiLevelType w:val="hybridMultilevel"/>
    <w:tmpl w:val="FABCA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4D0B22E">
      <w:numFmt w:val="bullet"/>
      <w:lvlText w:val="•"/>
      <w:lvlJc w:val="left"/>
      <w:pPr>
        <w:ind w:left="2160" w:hanging="360"/>
      </w:pPr>
      <w:rPr>
        <w:rFonts w:ascii="Carlito" w:eastAsia="Carlito" w:hAnsi="Carlito" w:cs="Carlito"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85107"/>
    <w:multiLevelType w:val="hybridMultilevel"/>
    <w:tmpl w:val="43708AD0"/>
    <w:lvl w:ilvl="0" w:tplc="015A1164">
      <w:start w:val="10"/>
      <w:numFmt w:val="bullet"/>
      <w:lvlText w:val="-"/>
      <w:lvlJc w:val="left"/>
      <w:pPr>
        <w:ind w:left="1080" w:hanging="360"/>
      </w:pPr>
      <w:rPr>
        <w:rFonts w:ascii="Carlito" w:eastAsia="Carlito" w:hAnsi="Carlito" w:cs="Carlito"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FC3DBB"/>
    <w:multiLevelType w:val="hybridMultilevel"/>
    <w:tmpl w:val="8116C8C6"/>
    <w:lvl w:ilvl="0" w:tplc="015A1164">
      <w:start w:val="10"/>
      <w:numFmt w:val="bullet"/>
      <w:lvlText w:val="-"/>
      <w:lvlJc w:val="left"/>
      <w:pPr>
        <w:ind w:left="1080" w:hanging="360"/>
      </w:pPr>
      <w:rPr>
        <w:rFonts w:ascii="Carlito" w:eastAsia="Carlito" w:hAnsi="Carlito" w:cs="Carlito"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3F5DAD"/>
    <w:multiLevelType w:val="hybridMultilevel"/>
    <w:tmpl w:val="ED30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659AC"/>
    <w:multiLevelType w:val="hybridMultilevel"/>
    <w:tmpl w:val="DB2A9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86A5F"/>
    <w:multiLevelType w:val="hybridMultilevel"/>
    <w:tmpl w:val="3AA8BC72"/>
    <w:lvl w:ilvl="0" w:tplc="D2D01A6C">
      <w:numFmt w:val="bullet"/>
      <w:lvlText w:val="•"/>
      <w:lvlJc w:val="left"/>
      <w:pPr>
        <w:ind w:left="360" w:hanging="360"/>
      </w:pPr>
      <w:rPr>
        <w:rFonts w:hint="default"/>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902D61"/>
    <w:multiLevelType w:val="hybridMultilevel"/>
    <w:tmpl w:val="6FAA4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1408A"/>
    <w:multiLevelType w:val="hybridMultilevel"/>
    <w:tmpl w:val="5028A6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A464D"/>
    <w:multiLevelType w:val="hybridMultilevel"/>
    <w:tmpl w:val="555AEB44"/>
    <w:lvl w:ilvl="0" w:tplc="D2D01A6C">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171E6"/>
    <w:multiLevelType w:val="hybridMultilevel"/>
    <w:tmpl w:val="AF2CB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B7609"/>
    <w:multiLevelType w:val="hybridMultilevel"/>
    <w:tmpl w:val="582A9FF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15:restartNumberingAfterBreak="0">
    <w:nsid w:val="49580355"/>
    <w:multiLevelType w:val="hybridMultilevel"/>
    <w:tmpl w:val="1652C4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6323F"/>
    <w:multiLevelType w:val="hybridMultilevel"/>
    <w:tmpl w:val="34CC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0203C"/>
    <w:multiLevelType w:val="hybridMultilevel"/>
    <w:tmpl w:val="0ED8C650"/>
    <w:lvl w:ilvl="0" w:tplc="015A1164">
      <w:start w:val="10"/>
      <w:numFmt w:val="bullet"/>
      <w:lvlText w:val="-"/>
      <w:lvlJc w:val="left"/>
      <w:pPr>
        <w:ind w:left="1080" w:hanging="360"/>
      </w:pPr>
      <w:rPr>
        <w:rFonts w:ascii="Carlito" w:eastAsia="Carlito" w:hAnsi="Carlito" w:cs="Carlito"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2C1714"/>
    <w:multiLevelType w:val="hybridMultilevel"/>
    <w:tmpl w:val="36745D4C"/>
    <w:lvl w:ilvl="0" w:tplc="08090001">
      <w:start w:val="1"/>
      <w:numFmt w:val="bullet"/>
      <w:lvlText w:val=""/>
      <w:lvlJc w:val="left"/>
      <w:pPr>
        <w:ind w:left="887" w:hanging="360"/>
      </w:pPr>
      <w:rPr>
        <w:rFonts w:ascii="Symbol" w:hAnsi="Symbol" w:hint="default"/>
      </w:rPr>
    </w:lvl>
    <w:lvl w:ilvl="1" w:tplc="08090003">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4" w15:restartNumberingAfterBreak="0">
    <w:nsid w:val="5D706B97"/>
    <w:multiLevelType w:val="hybridMultilevel"/>
    <w:tmpl w:val="B0F07004"/>
    <w:lvl w:ilvl="0" w:tplc="DAF0AB70">
      <w:start w:val="1"/>
      <w:numFmt w:val="lowerRoman"/>
      <w:lvlText w:val="(%1)"/>
      <w:lvlJc w:val="left"/>
      <w:pPr>
        <w:ind w:left="1900" w:hanging="360"/>
      </w:pPr>
      <w:rPr>
        <w:rFonts w:ascii="Carlito" w:eastAsia="Carlito" w:hAnsi="Carlito" w:cs="Carlito" w:hint="default"/>
        <w:spacing w:val="-2"/>
        <w:w w:val="100"/>
        <w:sz w:val="18"/>
        <w:szCs w:val="18"/>
        <w:lang w:val="en-US" w:eastAsia="en-US" w:bidi="ar-SA"/>
      </w:rPr>
    </w:lvl>
    <w:lvl w:ilvl="1" w:tplc="95463FD8">
      <w:numFmt w:val="bullet"/>
      <w:lvlText w:val="•"/>
      <w:lvlJc w:val="left"/>
      <w:pPr>
        <w:ind w:left="2606" w:hanging="360"/>
      </w:pPr>
      <w:rPr>
        <w:rFonts w:hint="default"/>
        <w:lang w:val="en-US" w:eastAsia="en-US" w:bidi="ar-SA"/>
      </w:rPr>
    </w:lvl>
    <w:lvl w:ilvl="2" w:tplc="CA246568">
      <w:numFmt w:val="bullet"/>
      <w:lvlText w:val="•"/>
      <w:lvlJc w:val="left"/>
      <w:pPr>
        <w:ind w:left="3313" w:hanging="360"/>
      </w:pPr>
      <w:rPr>
        <w:rFonts w:hint="default"/>
        <w:lang w:val="en-US" w:eastAsia="en-US" w:bidi="ar-SA"/>
      </w:rPr>
    </w:lvl>
    <w:lvl w:ilvl="3" w:tplc="DAC0AA56">
      <w:numFmt w:val="bullet"/>
      <w:lvlText w:val="•"/>
      <w:lvlJc w:val="left"/>
      <w:pPr>
        <w:ind w:left="4019" w:hanging="360"/>
      </w:pPr>
      <w:rPr>
        <w:rFonts w:hint="default"/>
        <w:lang w:val="en-US" w:eastAsia="en-US" w:bidi="ar-SA"/>
      </w:rPr>
    </w:lvl>
    <w:lvl w:ilvl="4" w:tplc="1340EBA4">
      <w:numFmt w:val="bullet"/>
      <w:lvlText w:val="•"/>
      <w:lvlJc w:val="left"/>
      <w:pPr>
        <w:ind w:left="4726" w:hanging="360"/>
      </w:pPr>
      <w:rPr>
        <w:rFonts w:hint="default"/>
        <w:lang w:val="en-US" w:eastAsia="en-US" w:bidi="ar-SA"/>
      </w:rPr>
    </w:lvl>
    <w:lvl w:ilvl="5" w:tplc="A6FEE332">
      <w:numFmt w:val="bullet"/>
      <w:lvlText w:val="•"/>
      <w:lvlJc w:val="left"/>
      <w:pPr>
        <w:ind w:left="5433" w:hanging="360"/>
      </w:pPr>
      <w:rPr>
        <w:rFonts w:hint="default"/>
        <w:lang w:val="en-US" w:eastAsia="en-US" w:bidi="ar-SA"/>
      </w:rPr>
    </w:lvl>
    <w:lvl w:ilvl="6" w:tplc="87262AD8">
      <w:numFmt w:val="bullet"/>
      <w:lvlText w:val="•"/>
      <w:lvlJc w:val="left"/>
      <w:pPr>
        <w:ind w:left="6139" w:hanging="360"/>
      </w:pPr>
      <w:rPr>
        <w:rFonts w:hint="default"/>
        <w:lang w:val="en-US" w:eastAsia="en-US" w:bidi="ar-SA"/>
      </w:rPr>
    </w:lvl>
    <w:lvl w:ilvl="7" w:tplc="ED78BB8E">
      <w:numFmt w:val="bullet"/>
      <w:lvlText w:val="•"/>
      <w:lvlJc w:val="left"/>
      <w:pPr>
        <w:ind w:left="6846" w:hanging="360"/>
      </w:pPr>
      <w:rPr>
        <w:rFonts w:hint="default"/>
        <w:lang w:val="en-US" w:eastAsia="en-US" w:bidi="ar-SA"/>
      </w:rPr>
    </w:lvl>
    <w:lvl w:ilvl="8" w:tplc="D0EEB40C">
      <w:numFmt w:val="bullet"/>
      <w:lvlText w:val="•"/>
      <w:lvlJc w:val="left"/>
      <w:pPr>
        <w:ind w:left="7553" w:hanging="360"/>
      </w:pPr>
      <w:rPr>
        <w:rFonts w:hint="default"/>
        <w:lang w:val="en-US" w:eastAsia="en-US" w:bidi="ar-SA"/>
      </w:rPr>
    </w:lvl>
  </w:abstractNum>
  <w:abstractNum w:abstractNumId="25" w15:restartNumberingAfterBreak="0">
    <w:nsid w:val="5F0A49BA"/>
    <w:multiLevelType w:val="hybridMultilevel"/>
    <w:tmpl w:val="3DCC1FE4"/>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26" w15:restartNumberingAfterBreak="0">
    <w:nsid w:val="5F5F163A"/>
    <w:multiLevelType w:val="hybridMultilevel"/>
    <w:tmpl w:val="A3E893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D3B25"/>
    <w:multiLevelType w:val="hybridMultilevel"/>
    <w:tmpl w:val="62F26230"/>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8" w15:restartNumberingAfterBreak="0">
    <w:nsid w:val="6571723E"/>
    <w:multiLevelType w:val="hybridMultilevel"/>
    <w:tmpl w:val="9962E2A0"/>
    <w:lvl w:ilvl="0" w:tplc="D2D01A6C">
      <w:numFmt w:val="bullet"/>
      <w:lvlText w:val="•"/>
      <w:lvlJc w:val="left"/>
      <w:pPr>
        <w:ind w:left="360" w:hanging="360"/>
      </w:pPr>
      <w:rPr>
        <w:rFonts w:hint="default"/>
        <w:lang w:val="en-US" w:eastAsia="en-US" w:bidi="ar-SA"/>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708E3C1C"/>
    <w:multiLevelType w:val="hybridMultilevel"/>
    <w:tmpl w:val="E68C06E6"/>
    <w:lvl w:ilvl="0" w:tplc="ED381386">
      <w:start w:val="1"/>
      <w:numFmt w:val="decimal"/>
      <w:lvlText w:val="%1."/>
      <w:lvlJc w:val="left"/>
      <w:pPr>
        <w:ind w:left="460" w:hanging="360"/>
      </w:pPr>
      <w:rPr>
        <w:rFonts w:ascii="Carlito" w:eastAsia="Carlito" w:hAnsi="Carlito" w:cs="Carlito" w:hint="default"/>
        <w:spacing w:val="-2"/>
        <w:w w:val="100"/>
        <w:sz w:val="18"/>
        <w:szCs w:val="18"/>
        <w:lang w:val="en-US" w:eastAsia="en-US" w:bidi="ar-SA"/>
      </w:rPr>
    </w:lvl>
    <w:lvl w:ilvl="1" w:tplc="4BA8F7B0">
      <w:numFmt w:val="bullet"/>
      <w:lvlText w:val=""/>
      <w:lvlJc w:val="left"/>
      <w:pPr>
        <w:ind w:left="1518" w:hanging="341"/>
      </w:pPr>
      <w:rPr>
        <w:rFonts w:ascii="Symbol" w:eastAsia="Symbol" w:hAnsi="Symbol" w:cs="Symbol" w:hint="default"/>
        <w:w w:val="100"/>
        <w:sz w:val="18"/>
        <w:szCs w:val="18"/>
        <w:lang w:val="en-US" w:eastAsia="en-US" w:bidi="ar-SA"/>
      </w:rPr>
    </w:lvl>
    <w:lvl w:ilvl="2" w:tplc="D2D01A6C">
      <w:numFmt w:val="bullet"/>
      <w:lvlText w:val="•"/>
      <w:lvlJc w:val="left"/>
      <w:pPr>
        <w:ind w:left="1540" w:hanging="341"/>
      </w:pPr>
      <w:rPr>
        <w:rFonts w:hint="default"/>
        <w:lang w:val="en-US" w:eastAsia="en-US" w:bidi="ar-SA"/>
      </w:rPr>
    </w:lvl>
    <w:lvl w:ilvl="3" w:tplc="19924DAE">
      <w:numFmt w:val="bullet"/>
      <w:lvlText w:val="•"/>
      <w:lvlJc w:val="left"/>
      <w:pPr>
        <w:ind w:left="1900" w:hanging="341"/>
      </w:pPr>
      <w:rPr>
        <w:rFonts w:hint="default"/>
        <w:lang w:val="en-US" w:eastAsia="en-US" w:bidi="ar-SA"/>
      </w:rPr>
    </w:lvl>
    <w:lvl w:ilvl="4" w:tplc="A1D28C8A">
      <w:numFmt w:val="bullet"/>
      <w:lvlText w:val="•"/>
      <w:lvlJc w:val="left"/>
      <w:pPr>
        <w:ind w:left="8160" w:hanging="341"/>
      </w:pPr>
      <w:rPr>
        <w:rFonts w:hint="default"/>
        <w:lang w:val="en-US" w:eastAsia="en-US" w:bidi="ar-SA"/>
      </w:rPr>
    </w:lvl>
    <w:lvl w:ilvl="5" w:tplc="20DE62A6">
      <w:numFmt w:val="bullet"/>
      <w:lvlText w:val="•"/>
      <w:lvlJc w:val="left"/>
      <w:pPr>
        <w:ind w:left="8294" w:hanging="341"/>
      </w:pPr>
      <w:rPr>
        <w:rFonts w:hint="default"/>
        <w:lang w:val="en-US" w:eastAsia="en-US" w:bidi="ar-SA"/>
      </w:rPr>
    </w:lvl>
    <w:lvl w:ilvl="6" w:tplc="FFC01164">
      <w:numFmt w:val="bullet"/>
      <w:lvlText w:val="•"/>
      <w:lvlJc w:val="left"/>
      <w:pPr>
        <w:ind w:left="8428" w:hanging="341"/>
      </w:pPr>
      <w:rPr>
        <w:rFonts w:hint="default"/>
        <w:lang w:val="en-US" w:eastAsia="en-US" w:bidi="ar-SA"/>
      </w:rPr>
    </w:lvl>
    <w:lvl w:ilvl="7" w:tplc="822AF5FE">
      <w:numFmt w:val="bullet"/>
      <w:lvlText w:val="•"/>
      <w:lvlJc w:val="left"/>
      <w:pPr>
        <w:ind w:left="8563" w:hanging="341"/>
      </w:pPr>
      <w:rPr>
        <w:rFonts w:hint="default"/>
        <w:lang w:val="en-US" w:eastAsia="en-US" w:bidi="ar-SA"/>
      </w:rPr>
    </w:lvl>
    <w:lvl w:ilvl="8" w:tplc="CF0EC2B0">
      <w:numFmt w:val="bullet"/>
      <w:lvlText w:val="•"/>
      <w:lvlJc w:val="left"/>
      <w:pPr>
        <w:ind w:left="8697" w:hanging="341"/>
      </w:pPr>
      <w:rPr>
        <w:rFonts w:hint="default"/>
        <w:lang w:val="en-US" w:eastAsia="en-US" w:bidi="ar-SA"/>
      </w:rPr>
    </w:lvl>
  </w:abstractNum>
  <w:abstractNum w:abstractNumId="30" w15:restartNumberingAfterBreak="0">
    <w:nsid w:val="715C259B"/>
    <w:multiLevelType w:val="hybridMultilevel"/>
    <w:tmpl w:val="C7B0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B5076"/>
    <w:multiLevelType w:val="hybridMultilevel"/>
    <w:tmpl w:val="F5A8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3761D9"/>
    <w:multiLevelType w:val="hybridMultilevel"/>
    <w:tmpl w:val="2BBEA64A"/>
    <w:lvl w:ilvl="0" w:tplc="DAF22DCE">
      <w:numFmt w:val="bullet"/>
      <w:lvlText w:val=""/>
      <w:lvlJc w:val="left"/>
      <w:pPr>
        <w:ind w:left="1540" w:hanging="360"/>
      </w:pPr>
      <w:rPr>
        <w:rFonts w:ascii="Symbol" w:eastAsia="Symbol" w:hAnsi="Symbol" w:cs="Symbol" w:hint="default"/>
        <w:w w:val="100"/>
        <w:sz w:val="18"/>
        <w:szCs w:val="18"/>
        <w:lang w:val="en-US" w:eastAsia="en-US" w:bidi="ar-SA"/>
      </w:rPr>
    </w:lvl>
    <w:lvl w:ilvl="1" w:tplc="91F4BE00">
      <w:numFmt w:val="bullet"/>
      <w:lvlText w:val="•"/>
      <w:lvlJc w:val="left"/>
      <w:pPr>
        <w:ind w:left="2282" w:hanging="360"/>
      </w:pPr>
      <w:rPr>
        <w:rFonts w:hint="default"/>
        <w:lang w:val="en-US" w:eastAsia="en-US" w:bidi="ar-SA"/>
      </w:rPr>
    </w:lvl>
    <w:lvl w:ilvl="2" w:tplc="90CA04D0">
      <w:numFmt w:val="bullet"/>
      <w:lvlText w:val="•"/>
      <w:lvlJc w:val="left"/>
      <w:pPr>
        <w:ind w:left="3025" w:hanging="360"/>
      </w:pPr>
      <w:rPr>
        <w:rFonts w:hint="default"/>
        <w:lang w:val="en-US" w:eastAsia="en-US" w:bidi="ar-SA"/>
      </w:rPr>
    </w:lvl>
    <w:lvl w:ilvl="3" w:tplc="EB72024C">
      <w:numFmt w:val="bullet"/>
      <w:lvlText w:val="•"/>
      <w:lvlJc w:val="left"/>
      <w:pPr>
        <w:ind w:left="3767" w:hanging="360"/>
      </w:pPr>
      <w:rPr>
        <w:rFonts w:hint="default"/>
        <w:lang w:val="en-US" w:eastAsia="en-US" w:bidi="ar-SA"/>
      </w:rPr>
    </w:lvl>
    <w:lvl w:ilvl="4" w:tplc="5890E3D0">
      <w:numFmt w:val="bullet"/>
      <w:lvlText w:val="•"/>
      <w:lvlJc w:val="left"/>
      <w:pPr>
        <w:ind w:left="4510" w:hanging="360"/>
      </w:pPr>
      <w:rPr>
        <w:rFonts w:hint="default"/>
        <w:lang w:val="en-US" w:eastAsia="en-US" w:bidi="ar-SA"/>
      </w:rPr>
    </w:lvl>
    <w:lvl w:ilvl="5" w:tplc="6052C78A">
      <w:numFmt w:val="bullet"/>
      <w:lvlText w:val="•"/>
      <w:lvlJc w:val="left"/>
      <w:pPr>
        <w:ind w:left="5253" w:hanging="360"/>
      </w:pPr>
      <w:rPr>
        <w:rFonts w:hint="default"/>
        <w:lang w:val="en-US" w:eastAsia="en-US" w:bidi="ar-SA"/>
      </w:rPr>
    </w:lvl>
    <w:lvl w:ilvl="6" w:tplc="7528EFEE">
      <w:numFmt w:val="bullet"/>
      <w:lvlText w:val="•"/>
      <w:lvlJc w:val="left"/>
      <w:pPr>
        <w:ind w:left="5995" w:hanging="360"/>
      </w:pPr>
      <w:rPr>
        <w:rFonts w:hint="default"/>
        <w:lang w:val="en-US" w:eastAsia="en-US" w:bidi="ar-SA"/>
      </w:rPr>
    </w:lvl>
    <w:lvl w:ilvl="7" w:tplc="3B382AC0">
      <w:numFmt w:val="bullet"/>
      <w:lvlText w:val="•"/>
      <w:lvlJc w:val="left"/>
      <w:pPr>
        <w:ind w:left="6738" w:hanging="360"/>
      </w:pPr>
      <w:rPr>
        <w:rFonts w:hint="default"/>
        <w:lang w:val="en-US" w:eastAsia="en-US" w:bidi="ar-SA"/>
      </w:rPr>
    </w:lvl>
    <w:lvl w:ilvl="8" w:tplc="68806504">
      <w:numFmt w:val="bullet"/>
      <w:lvlText w:val="•"/>
      <w:lvlJc w:val="left"/>
      <w:pPr>
        <w:ind w:left="7481" w:hanging="360"/>
      </w:pPr>
      <w:rPr>
        <w:rFonts w:hint="default"/>
        <w:lang w:val="en-US" w:eastAsia="en-US" w:bidi="ar-SA"/>
      </w:rPr>
    </w:lvl>
  </w:abstractNum>
  <w:abstractNum w:abstractNumId="33" w15:restartNumberingAfterBreak="0">
    <w:nsid w:val="7EBE1868"/>
    <w:multiLevelType w:val="hybridMultilevel"/>
    <w:tmpl w:val="C68C87F2"/>
    <w:lvl w:ilvl="0" w:tplc="D2D01A6C">
      <w:numFmt w:val="bullet"/>
      <w:lvlText w:val="•"/>
      <w:lvlJc w:val="left"/>
      <w:pPr>
        <w:ind w:left="360" w:hanging="360"/>
      </w:pPr>
      <w:rPr>
        <w:rFonts w:hint="default"/>
        <w:lang w:val="en-US" w:eastAsia="en-US" w:bidi="ar-SA"/>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16cid:durableId="33968889">
    <w:abstractNumId w:val="4"/>
  </w:num>
  <w:num w:numId="2" w16cid:durableId="1593315947">
    <w:abstractNumId w:val="32"/>
  </w:num>
  <w:num w:numId="3" w16cid:durableId="1355299981">
    <w:abstractNumId w:val="24"/>
  </w:num>
  <w:num w:numId="4" w16cid:durableId="877475369">
    <w:abstractNumId w:val="29"/>
  </w:num>
  <w:num w:numId="5" w16cid:durableId="1132401853">
    <w:abstractNumId w:val="9"/>
  </w:num>
  <w:num w:numId="6" w16cid:durableId="1424841091">
    <w:abstractNumId w:val="25"/>
  </w:num>
  <w:num w:numId="7" w16cid:durableId="425467293">
    <w:abstractNumId w:val="23"/>
  </w:num>
  <w:num w:numId="8" w16cid:durableId="403069790">
    <w:abstractNumId w:val="12"/>
  </w:num>
  <w:num w:numId="9" w16cid:durableId="261957722">
    <w:abstractNumId w:val="21"/>
  </w:num>
  <w:num w:numId="10" w16cid:durableId="2004161635">
    <w:abstractNumId w:val="20"/>
  </w:num>
  <w:num w:numId="11" w16cid:durableId="866328552">
    <w:abstractNumId w:val="16"/>
  </w:num>
  <w:num w:numId="12" w16cid:durableId="1844010767">
    <w:abstractNumId w:val="13"/>
  </w:num>
  <w:num w:numId="13" w16cid:durableId="1340541164">
    <w:abstractNumId w:val="19"/>
  </w:num>
  <w:num w:numId="14" w16cid:durableId="30738818">
    <w:abstractNumId w:val="26"/>
  </w:num>
  <w:num w:numId="15" w16cid:durableId="1258368491">
    <w:abstractNumId w:val="6"/>
  </w:num>
  <w:num w:numId="16" w16cid:durableId="1901474161">
    <w:abstractNumId w:val="15"/>
  </w:num>
  <w:num w:numId="17" w16cid:durableId="403575362">
    <w:abstractNumId w:val="27"/>
  </w:num>
  <w:num w:numId="18" w16cid:durableId="1467967296">
    <w:abstractNumId w:val="0"/>
  </w:num>
  <w:num w:numId="19" w16cid:durableId="1750731405">
    <w:abstractNumId w:val="18"/>
  </w:num>
  <w:num w:numId="20" w16cid:durableId="1058013976">
    <w:abstractNumId w:val="1"/>
  </w:num>
  <w:num w:numId="21" w16cid:durableId="912274629">
    <w:abstractNumId w:val="31"/>
  </w:num>
  <w:num w:numId="22" w16cid:durableId="128864331">
    <w:abstractNumId w:val="30"/>
  </w:num>
  <w:num w:numId="23" w16cid:durableId="1866747605">
    <w:abstractNumId w:val="3"/>
  </w:num>
  <w:num w:numId="24" w16cid:durableId="1308437995">
    <w:abstractNumId w:val="7"/>
  </w:num>
  <w:num w:numId="25" w16cid:durableId="1894342725">
    <w:abstractNumId w:val="11"/>
  </w:num>
  <w:num w:numId="26" w16cid:durableId="41564907">
    <w:abstractNumId w:val="33"/>
  </w:num>
  <w:num w:numId="27" w16cid:durableId="965158638">
    <w:abstractNumId w:val="14"/>
  </w:num>
  <w:num w:numId="28" w16cid:durableId="857888150">
    <w:abstractNumId w:val="5"/>
  </w:num>
  <w:num w:numId="29" w16cid:durableId="1248267555">
    <w:abstractNumId w:val="10"/>
  </w:num>
  <w:num w:numId="30" w16cid:durableId="1674722811">
    <w:abstractNumId w:val="22"/>
  </w:num>
  <w:num w:numId="31" w16cid:durableId="860048713">
    <w:abstractNumId w:val="2"/>
  </w:num>
  <w:num w:numId="32" w16cid:durableId="1169372789">
    <w:abstractNumId w:val="28"/>
  </w:num>
  <w:num w:numId="33" w16cid:durableId="757943504">
    <w:abstractNumId w:val="8"/>
  </w:num>
  <w:num w:numId="34" w16cid:durableId="14538594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E3"/>
    <w:rsid w:val="00004D35"/>
    <w:rsid w:val="0002021B"/>
    <w:rsid w:val="00020A06"/>
    <w:rsid w:val="0002339A"/>
    <w:rsid w:val="00025C28"/>
    <w:rsid w:val="00045C7F"/>
    <w:rsid w:val="00053C81"/>
    <w:rsid w:val="00073E9A"/>
    <w:rsid w:val="00077C22"/>
    <w:rsid w:val="00092808"/>
    <w:rsid w:val="000950AD"/>
    <w:rsid w:val="000B0917"/>
    <w:rsid w:val="000C3C51"/>
    <w:rsid w:val="000C48DE"/>
    <w:rsid w:val="000C49E5"/>
    <w:rsid w:val="000C50B5"/>
    <w:rsid w:val="000D37CE"/>
    <w:rsid w:val="000E6648"/>
    <w:rsid w:val="000F7D12"/>
    <w:rsid w:val="0010309C"/>
    <w:rsid w:val="00132E32"/>
    <w:rsid w:val="001379D5"/>
    <w:rsid w:val="00150183"/>
    <w:rsid w:val="00153CCA"/>
    <w:rsid w:val="00157C45"/>
    <w:rsid w:val="001918AE"/>
    <w:rsid w:val="001C5D02"/>
    <w:rsid w:val="001D6D6B"/>
    <w:rsid w:val="0022633B"/>
    <w:rsid w:val="0028210C"/>
    <w:rsid w:val="002823F8"/>
    <w:rsid w:val="00285040"/>
    <w:rsid w:val="002A12DE"/>
    <w:rsid w:val="002B014C"/>
    <w:rsid w:val="002D6DB9"/>
    <w:rsid w:val="002E547D"/>
    <w:rsid w:val="002F6C97"/>
    <w:rsid w:val="00326E01"/>
    <w:rsid w:val="00327B4D"/>
    <w:rsid w:val="0035565B"/>
    <w:rsid w:val="003718CB"/>
    <w:rsid w:val="00375070"/>
    <w:rsid w:val="003C0748"/>
    <w:rsid w:val="003C649A"/>
    <w:rsid w:val="003E4033"/>
    <w:rsid w:val="00401AEA"/>
    <w:rsid w:val="00407424"/>
    <w:rsid w:val="0042184F"/>
    <w:rsid w:val="00424994"/>
    <w:rsid w:val="004249E1"/>
    <w:rsid w:val="004362B9"/>
    <w:rsid w:val="004433BA"/>
    <w:rsid w:val="00462A5D"/>
    <w:rsid w:val="0046657E"/>
    <w:rsid w:val="00495BD3"/>
    <w:rsid w:val="004D4284"/>
    <w:rsid w:val="00500EA0"/>
    <w:rsid w:val="00502DA7"/>
    <w:rsid w:val="00514AF0"/>
    <w:rsid w:val="00551230"/>
    <w:rsid w:val="00567938"/>
    <w:rsid w:val="005945AF"/>
    <w:rsid w:val="005D691F"/>
    <w:rsid w:val="005E60C7"/>
    <w:rsid w:val="00611605"/>
    <w:rsid w:val="006140D2"/>
    <w:rsid w:val="00615580"/>
    <w:rsid w:val="006420FB"/>
    <w:rsid w:val="00645B01"/>
    <w:rsid w:val="006758E4"/>
    <w:rsid w:val="00680A48"/>
    <w:rsid w:val="006C5A8B"/>
    <w:rsid w:val="006C6E78"/>
    <w:rsid w:val="006E7988"/>
    <w:rsid w:val="00701809"/>
    <w:rsid w:val="007235A6"/>
    <w:rsid w:val="00732EE6"/>
    <w:rsid w:val="007722D3"/>
    <w:rsid w:val="007769CC"/>
    <w:rsid w:val="007A5139"/>
    <w:rsid w:val="007B6D36"/>
    <w:rsid w:val="007C2D93"/>
    <w:rsid w:val="007D405B"/>
    <w:rsid w:val="007F36EB"/>
    <w:rsid w:val="007F530F"/>
    <w:rsid w:val="0081034F"/>
    <w:rsid w:val="00815621"/>
    <w:rsid w:val="008227B0"/>
    <w:rsid w:val="00825C37"/>
    <w:rsid w:val="0084473D"/>
    <w:rsid w:val="0086205F"/>
    <w:rsid w:val="008878AA"/>
    <w:rsid w:val="008968BA"/>
    <w:rsid w:val="008C4CFA"/>
    <w:rsid w:val="00975B78"/>
    <w:rsid w:val="00995E47"/>
    <w:rsid w:val="009964F5"/>
    <w:rsid w:val="009A1962"/>
    <w:rsid w:val="009A2BE8"/>
    <w:rsid w:val="009D3395"/>
    <w:rsid w:val="009D5026"/>
    <w:rsid w:val="00A0093E"/>
    <w:rsid w:val="00A04E8B"/>
    <w:rsid w:val="00AB46AC"/>
    <w:rsid w:val="00AB622C"/>
    <w:rsid w:val="00AB72B6"/>
    <w:rsid w:val="00AF1B81"/>
    <w:rsid w:val="00B11469"/>
    <w:rsid w:val="00B353B0"/>
    <w:rsid w:val="00B72DBA"/>
    <w:rsid w:val="00B8212A"/>
    <w:rsid w:val="00BA0E3A"/>
    <w:rsid w:val="00BA4DCC"/>
    <w:rsid w:val="00BC53DE"/>
    <w:rsid w:val="00BE2CE2"/>
    <w:rsid w:val="00BE57C3"/>
    <w:rsid w:val="00C009F0"/>
    <w:rsid w:val="00C11A0A"/>
    <w:rsid w:val="00C17FFD"/>
    <w:rsid w:val="00C344E3"/>
    <w:rsid w:val="00C367D1"/>
    <w:rsid w:val="00C739BD"/>
    <w:rsid w:val="00CB3494"/>
    <w:rsid w:val="00CF1956"/>
    <w:rsid w:val="00D13ED5"/>
    <w:rsid w:val="00D16503"/>
    <w:rsid w:val="00D16726"/>
    <w:rsid w:val="00D43626"/>
    <w:rsid w:val="00D72E29"/>
    <w:rsid w:val="00DA3263"/>
    <w:rsid w:val="00DD44A1"/>
    <w:rsid w:val="00DE266A"/>
    <w:rsid w:val="00DE68B3"/>
    <w:rsid w:val="00DF0CCF"/>
    <w:rsid w:val="00E05F6F"/>
    <w:rsid w:val="00E06B05"/>
    <w:rsid w:val="00E26864"/>
    <w:rsid w:val="00E63E3A"/>
    <w:rsid w:val="00E760C3"/>
    <w:rsid w:val="00E90B5D"/>
    <w:rsid w:val="00E91786"/>
    <w:rsid w:val="00EC2599"/>
    <w:rsid w:val="00EC5327"/>
    <w:rsid w:val="00EE28A2"/>
    <w:rsid w:val="00F00A67"/>
    <w:rsid w:val="00F17FF0"/>
    <w:rsid w:val="00F3152D"/>
    <w:rsid w:val="00F5163C"/>
    <w:rsid w:val="00F54D99"/>
    <w:rsid w:val="00F5672D"/>
    <w:rsid w:val="00F845AB"/>
    <w:rsid w:val="00FA7565"/>
    <w:rsid w:val="00FB16AA"/>
    <w:rsid w:val="00FD36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639D6"/>
  <w15:docId w15:val="{2231E2BD-032B-4645-B35B-C08C1C4A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905" w:right="905"/>
      <w:jc w:val="center"/>
    </w:pPr>
    <w:rPr>
      <w:sz w:val="36"/>
      <w:szCs w:val="36"/>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05B"/>
    <w:pPr>
      <w:tabs>
        <w:tab w:val="center" w:pos="4513"/>
        <w:tab w:val="right" w:pos="9026"/>
      </w:tabs>
    </w:pPr>
  </w:style>
  <w:style w:type="character" w:customStyle="1" w:styleId="HeaderChar">
    <w:name w:val="Header Char"/>
    <w:basedOn w:val="DefaultParagraphFont"/>
    <w:link w:val="Header"/>
    <w:uiPriority w:val="99"/>
    <w:rsid w:val="007D405B"/>
    <w:rPr>
      <w:rFonts w:ascii="Carlito" w:eastAsia="Carlito" w:hAnsi="Carlito" w:cs="Carlito"/>
    </w:rPr>
  </w:style>
  <w:style w:type="paragraph" w:styleId="Footer">
    <w:name w:val="footer"/>
    <w:basedOn w:val="Normal"/>
    <w:link w:val="FooterChar"/>
    <w:uiPriority w:val="99"/>
    <w:unhideWhenUsed/>
    <w:rsid w:val="007D405B"/>
    <w:pPr>
      <w:tabs>
        <w:tab w:val="center" w:pos="4513"/>
        <w:tab w:val="right" w:pos="9026"/>
      </w:tabs>
    </w:pPr>
  </w:style>
  <w:style w:type="character" w:customStyle="1" w:styleId="FooterChar">
    <w:name w:val="Footer Char"/>
    <w:basedOn w:val="DefaultParagraphFont"/>
    <w:link w:val="Footer"/>
    <w:uiPriority w:val="99"/>
    <w:rsid w:val="007D405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83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Paula Maguire</cp:lastModifiedBy>
  <cp:revision>100</cp:revision>
  <dcterms:created xsi:type="dcterms:W3CDTF">2022-10-09T19:53:00Z</dcterms:created>
  <dcterms:modified xsi:type="dcterms:W3CDTF">2022-10-10T14:27:00Z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2021-01-22T00:00:00Z</vt:filetime>
  </property>
</Properties>
</file>