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1576" w14:textId="554999FA" w:rsidR="00D6711E" w:rsidRDefault="00D6711E" w:rsidP="00D6711E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077090" wp14:editId="0F8751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77221ED7" w14:textId="77777777" w:rsidR="00D6711E" w:rsidRDefault="00D6711E" w:rsidP="00D6711E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7306092D" w14:textId="77777777" w:rsidR="00D6711E" w:rsidRDefault="00D6711E" w:rsidP="00D6711E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499AF2EA" w14:textId="77777777" w:rsidR="00D6711E" w:rsidRDefault="00D6711E" w:rsidP="00D6711E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5865E6AE" w14:textId="77777777" w:rsidR="00D6711E" w:rsidRDefault="00D6711E" w:rsidP="00D6711E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584F7BB9" w14:textId="77777777" w:rsidR="00D6711E" w:rsidRDefault="00D6711E" w:rsidP="00D6711E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0E626B41" w14:textId="77777777" w:rsidR="00D6711E" w:rsidRDefault="00D6711E" w:rsidP="00053450">
      <w:pPr>
        <w:jc w:val="center"/>
      </w:pPr>
    </w:p>
    <w:p w14:paraId="39773BF8" w14:textId="10741BF1" w:rsidR="00053450" w:rsidRDefault="00053450" w:rsidP="00053450">
      <w:pPr>
        <w:jc w:val="center"/>
      </w:pPr>
      <w:r>
        <w:t xml:space="preserve">Core Unit 1A – </w:t>
      </w:r>
      <w:r w:rsidR="00167247">
        <w:t>Understanding Retirement Provision</w:t>
      </w:r>
    </w:p>
    <w:p w14:paraId="13224AB0" w14:textId="3331F3C0" w:rsidR="00053450" w:rsidRDefault="00053450" w:rsidP="00053450">
      <w:pPr>
        <w:spacing w:after="0"/>
        <w:jc w:val="center"/>
      </w:pPr>
      <w:r>
        <w:t>Assignment 4 Notes</w:t>
      </w:r>
    </w:p>
    <w:p w14:paraId="5477951B" w14:textId="7960ADAB" w:rsidR="00053450" w:rsidRDefault="00053450" w:rsidP="00053450">
      <w:pPr>
        <w:spacing w:after="0"/>
        <w:jc w:val="center"/>
      </w:pPr>
      <w:r>
        <w:t>(Part 4 – Workplace Pensions)</w:t>
      </w:r>
    </w:p>
    <w:p w14:paraId="0CF372CF" w14:textId="77777777" w:rsidR="00053450" w:rsidRDefault="00053450" w:rsidP="00053450">
      <w:pPr>
        <w:spacing w:after="0"/>
        <w:jc w:val="center"/>
      </w:pPr>
    </w:p>
    <w:p w14:paraId="1E133DCB" w14:textId="1E60D0F0" w:rsidR="00053450" w:rsidRDefault="00053450" w:rsidP="00053450">
      <w:pPr>
        <w:jc w:val="center"/>
        <w:rPr>
          <w:b/>
          <w:bCs/>
        </w:rPr>
      </w:pPr>
      <w:r>
        <w:t>Recommended Time: 1 Hour</w:t>
      </w:r>
    </w:p>
    <w:p w14:paraId="36ED4851" w14:textId="77777777" w:rsidR="00053450" w:rsidRDefault="00053450">
      <w:pPr>
        <w:rPr>
          <w:b/>
          <w:bCs/>
        </w:rPr>
      </w:pPr>
    </w:p>
    <w:p w14:paraId="16C9B41D" w14:textId="5C504827" w:rsidR="00A13441" w:rsidRPr="00053450" w:rsidRDefault="00B47C83" w:rsidP="00053450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Write </w:t>
      </w:r>
      <w:r w:rsidR="005938FB">
        <w:rPr>
          <w:b/>
          <w:bCs/>
        </w:rPr>
        <w:t xml:space="preserve">short notes on </w:t>
      </w:r>
      <w:r w:rsidR="006503EF">
        <w:rPr>
          <w:b/>
          <w:bCs/>
        </w:rPr>
        <w:t>Self-Invested Personal Pensions (SIPPs)</w:t>
      </w:r>
      <w:r w:rsidR="001F4E39">
        <w:rPr>
          <w:b/>
          <w:bCs/>
        </w:rPr>
        <w:t>. Your answer must refer to the</w:t>
      </w:r>
      <w:r w:rsidR="006503EF">
        <w:rPr>
          <w:b/>
          <w:bCs/>
        </w:rPr>
        <w:t xml:space="preserve"> term Income Drawdown.</w:t>
      </w:r>
    </w:p>
    <w:p w14:paraId="796E00D4" w14:textId="4B60E1F7" w:rsidR="00F74D9D" w:rsidRDefault="00F74D9D" w:rsidP="00F74D9D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668B2DDA" w14:textId="77777777" w:rsidR="00EF5E24" w:rsidRDefault="00EF5E24" w:rsidP="00053450">
      <w:pPr>
        <w:ind w:firstLine="360"/>
      </w:pPr>
      <w:r>
        <w:t>Answer should cover the following:</w:t>
      </w:r>
    </w:p>
    <w:p w14:paraId="12D7FDEC" w14:textId="254F9A2F" w:rsidR="001532C8" w:rsidRDefault="005938FB" w:rsidP="00EF5E24">
      <w:pPr>
        <w:pStyle w:val="ListParagraph"/>
        <w:numPr>
          <w:ilvl w:val="0"/>
          <w:numId w:val="1"/>
        </w:numPr>
      </w:pPr>
      <w:r>
        <w:t xml:space="preserve">Introduced following a </w:t>
      </w:r>
      <w:r w:rsidR="001532C8">
        <w:t>government</w:t>
      </w:r>
      <w:r>
        <w:t xml:space="preserve"> initiative announced in the 1989 Budget</w:t>
      </w:r>
    </w:p>
    <w:p w14:paraId="51F70F72" w14:textId="77777777" w:rsidR="006D7F8E" w:rsidRDefault="001532C8" w:rsidP="00EF5E24">
      <w:pPr>
        <w:pStyle w:val="ListParagraph"/>
        <w:numPr>
          <w:ilvl w:val="0"/>
          <w:numId w:val="1"/>
        </w:numPr>
      </w:pPr>
      <w:r>
        <w:t>Making it easier for members to control their own pension fund investment</w:t>
      </w:r>
    </w:p>
    <w:p w14:paraId="6FA55352" w14:textId="77777777" w:rsidR="006D7F8E" w:rsidRDefault="006D7F8E" w:rsidP="00EF5E24">
      <w:pPr>
        <w:pStyle w:val="ListParagraph"/>
        <w:numPr>
          <w:ilvl w:val="0"/>
          <w:numId w:val="1"/>
        </w:numPr>
      </w:pPr>
      <w:r>
        <w:t>Finance Act 1995 introduced income drawdown which increased its popularity</w:t>
      </w:r>
    </w:p>
    <w:p w14:paraId="2C79A3D1" w14:textId="77777777" w:rsidR="00446D96" w:rsidRDefault="003C2EC0" w:rsidP="00EF5E24">
      <w:pPr>
        <w:pStyle w:val="ListParagraph"/>
        <w:numPr>
          <w:ilvl w:val="0"/>
          <w:numId w:val="1"/>
        </w:numPr>
      </w:pPr>
      <w:r>
        <w:t>Income drawdown allowed members to take an income which can vary year to year</w:t>
      </w:r>
      <w:r w:rsidR="00446D96">
        <w:t>.</w:t>
      </w:r>
    </w:p>
    <w:p w14:paraId="29B65093" w14:textId="77777777" w:rsidR="00492984" w:rsidRDefault="008E211A" w:rsidP="00EF5E24">
      <w:pPr>
        <w:pStyle w:val="ListParagraph"/>
        <w:numPr>
          <w:ilvl w:val="0"/>
          <w:numId w:val="1"/>
        </w:numPr>
      </w:pPr>
      <w:r>
        <w:t>Pre</w:t>
      </w:r>
      <w:r w:rsidR="00446D96">
        <w:t xml:space="preserve"> 6 April 2015, two types of </w:t>
      </w:r>
      <w:proofErr w:type="gramStart"/>
      <w:r w:rsidR="00446D96">
        <w:t>drawdown</w:t>
      </w:r>
      <w:proofErr w:type="gramEnd"/>
      <w:r w:rsidR="00446D96">
        <w:t xml:space="preserve"> – capped </w:t>
      </w:r>
      <w:r w:rsidR="00492984">
        <w:t>/ flexible</w:t>
      </w:r>
    </w:p>
    <w:p w14:paraId="158C703F" w14:textId="77777777" w:rsidR="00492984" w:rsidRDefault="00492984" w:rsidP="00EF5E24">
      <w:pPr>
        <w:pStyle w:val="ListParagraph"/>
        <w:numPr>
          <w:ilvl w:val="0"/>
          <w:numId w:val="1"/>
        </w:numPr>
      </w:pPr>
      <w:r>
        <w:t>Capped – maximum amount of income that could be taken but no minimum</w:t>
      </w:r>
    </w:p>
    <w:p w14:paraId="64791D92" w14:textId="77777777" w:rsidR="009F69A8" w:rsidRDefault="00492984" w:rsidP="00EF5E24">
      <w:pPr>
        <w:pStyle w:val="ListParagraph"/>
        <w:numPr>
          <w:ilvl w:val="0"/>
          <w:numId w:val="1"/>
        </w:numPr>
      </w:pPr>
      <w:r>
        <w:t xml:space="preserve">Flexible </w:t>
      </w:r>
      <w:r w:rsidR="009F69A8">
        <w:t>–</w:t>
      </w:r>
      <w:r>
        <w:t xml:space="preserve"> </w:t>
      </w:r>
      <w:r w:rsidR="009F69A8">
        <w:t>satisfy the minimum income requirement, lifted the maximum that could be taken</w:t>
      </w:r>
    </w:p>
    <w:p w14:paraId="07DE5FB6" w14:textId="126AF96B" w:rsidR="00BC20A2" w:rsidRDefault="00C725B3" w:rsidP="00EF5E24">
      <w:pPr>
        <w:pStyle w:val="ListParagraph"/>
        <w:numPr>
          <w:ilvl w:val="0"/>
          <w:numId w:val="1"/>
        </w:numPr>
      </w:pPr>
      <w:r>
        <w:t>Works the same way as a normal personal pension plan</w:t>
      </w:r>
      <w:r w:rsidR="00BC20A2">
        <w:t xml:space="preserve">, contributions </w:t>
      </w:r>
      <w:r w:rsidR="00374F17">
        <w:t>paid,</w:t>
      </w:r>
      <w:r w:rsidR="00917AE2">
        <w:t xml:space="preserve"> and benefits </w:t>
      </w:r>
      <w:r w:rsidR="003813BB">
        <w:t>are relied upon amount of contributions and investment return.</w:t>
      </w:r>
    </w:p>
    <w:p w14:paraId="7DDC0F9D" w14:textId="7F7BAC02" w:rsidR="00565929" w:rsidRDefault="00565929" w:rsidP="00EF5E24">
      <w:pPr>
        <w:pStyle w:val="ListParagraph"/>
        <w:numPr>
          <w:ilvl w:val="0"/>
          <w:numId w:val="1"/>
        </w:numPr>
      </w:pPr>
      <w:r>
        <w:t xml:space="preserve">Downfall – been </w:t>
      </w:r>
      <w:r w:rsidR="00701F78">
        <w:t>susceptible to pension scams.</w:t>
      </w:r>
    </w:p>
    <w:p w14:paraId="733D15B5" w14:textId="4D34BB72" w:rsidR="00D6711E" w:rsidRDefault="00C33A6F" w:rsidP="001F4E39">
      <w:pPr>
        <w:ind w:left="360"/>
      </w:pPr>
      <w:r>
        <w:t xml:space="preserve">(Relevant section of the manual is Part </w:t>
      </w:r>
      <w:r w:rsidR="00D641C3">
        <w:t>4</w:t>
      </w:r>
      <w:r>
        <w:t xml:space="preserve"> Chapter </w:t>
      </w:r>
      <w:r w:rsidR="00D641C3">
        <w:t>1.</w:t>
      </w:r>
      <w:r w:rsidR="00374F17">
        <w:t>2.3</w:t>
      </w:r>
      <w:r>
        <w:t>)</w:t>
      </w:r>
    </w:p>
    <w:p w14:paraId="27A51911" w14:textId="77777777" w:rsidR="00D6711E" w:rsidRDefault="00D6711E" w:rsidP="00D641C3"/>
    <w:p w14:paraId="3C40A8DA" w14:textId="10E9801C" w:rsidR="00D641C3" w:rsidRPr="00053450" w:rsidRDefault="0081712D" w:rsidP="00053450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Outline what a final salary pension is and </w:t>
      </w:r>
      <w:r w:rsidR="00FB16CC">
        <w:rPr>
          <w:b/>
          <w:bCs/>
        </w:rPr>
        <w:t xml:space="preserve">state </w:t>
      </w:r>
      <w:r w:rsidR="005D6018">
        <w:rPr>
          <w:b/>
          <w:bCs/>
        </w:rPr>
        <w:t>how it differs to a</w:t>
      </w:r>
      <w:r w:rsidR="00FB16CC">
        <w:rPr>
          <w:b/>
          <w:bCs/>
        </w:rPr>
        <w:t xml:space="preserve"> Career Average Revalued Earnings scheme. </w:t>
      </w:r>
    </w:p>
    <w:p w14:paraId="417860A4" w14:textId="56A1BCE7" w:rsidR="00491C06" w:rsidRDefault="00491C06" w:rsidP="00491C06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26A9FF08" w14:textId="77777777" w:rsidR="00F13D84" w:rsidRDefault="00F13D84" w:rsidP="00053450">
      <w:pPr>
        <w:ind w:firstLine="720"/>
      </w:pPr>
      <w:bookmarkStart w:id="0" w:name="_Hlk85469060"/>
      <w:r>
        <w:t>Answer should cover the following:</w:t>
      </w:r>
    </w:p>
    <w:bookmarkEnd w:id="0"/>
    <w:p w14:paraId="15D8DF55" w14:textId="2296C408" w:rsidR="00491C06" w:rsidRDefault="005D6018" w:rsidP="00053450">
      <w:pPr>
        <w:ind w:firstLine="360"/>
        <w:rPr>
          <w:u w:val="single"/>
        </w:rPr>
      </w:pPr>
      <w:r>
        <w:rPr>
          <w:u w:val="single"/>
        </w:rPr>
        <w:t>Final Salary pension scheme</w:t>
      </w:r>
      <w:r w:rsidR="00F13D84" w:rsidRPr="00F13D84">
        <w:rPr>
          <w:u w:val="single"/>
        </w:rPr>
        <w:t>:</w:t>
      </w:r>
    </w:p>
    <w:p w14:paraId="0A887FA1" w14:textId="77777777" w:rsidR="003A4827" w:rsidRDefault="003A4827" w:rsidP="00F13D84">
      <w:pPr>
        <w:pStyle w:val="ListParagraph"/>
        <w:numPr>
          <w:ilvl w:val="0"/>
          <w:numId w:val="2"/>
        </w:numPr>
      </w:pPr>
      <w:r>
        <w:t>Historically the more common type of design</w:t>
      </w:r>
    </w:p>
    <w:p w14:paraId="24A5541B" w14:textId="77777777" w:rsidR="003A4827" w:rsidRDefault="003A4827" w:rsidP="00F13D84">
      <w:pPr>
        <w:pStyle w:val="ListParagraph"/>
        <w:numPr>
          <w:ilvl w:val="0"/>
          <w:numId w:val="2"/>
        </w:numPr>
      </w:pPr>
      <w:r>
        <w:t>Amount of pension on retirement is provided by a set formula:</w:t>
      </w:r>
    </w:p>
    <w:p w14:paraId="061B8C04" w14:textId="77777777" w:rsidR="00267719" w:rsidRDefault="00267719" w:rsidP="00F13D84">
      <w:pPr>
        <w:pStyle w:val="ListParagraph"/>
        <w:numPr>
          <w:ilvl w:val="0"/>
          <w:numId w:val="2"/>
        </w:numPr>
      </w:pPr>
      <w:r>
        <w:t>Pension = N x Accrual Rate x Final Pensionable Salary</w:t>
      </w:r>
    </w:p>
    <w:p w14:paraId="5366D40B" w14:textId="2AA7AB0D" w:rsidR="00F13D84" w:rsidRDefault="00D05331" w:rsidP="00D05331">
      <w:pPr>
        <w:pStyle w:val="ListParagraph"/>
      </w:pPr>
      <w:r>
        <w:t>N =the length of service, Accrual Rate is a fraction commonly 60ths or 80ths</w:t>
      </w:r>
    </w:p>
    <w:p w14:paraId="7D59EDCE" w14:textId="5D2FF948" w:rsidR="00D05331" w:rsidRDefault="00D05331" w:rsidP="00D05331">
      <w:pPr>
        <w:pStyle w:val="ListParagraph"/>
        <w:numPr>
          <w:ilvl w:val="0"/>
          <w:numId w:val="2"/>
        </w:numPr>
      </w:pPr>
      <w:r>
        <w:lastRenderedPageBreak/>
        <w:t>Final Pensionable Salary is based on the member’s salary at the time of leaving the scheme</w:t>
      </w:r>
      <w:r w:rsidR="006C27DB">
        <w:t xml:space="preserve"> over a specified length of time, </w:t>
      </w:r>
      <w:r w:rsidR="003F3562">
        <w:t>i.e.,</w:t>
      </w:r>
      <w:r w:rsidR="006C27DB">
        <w:t xml:space="preserve"> 12 or 36 months. In some </w:t>
      </w:r>
      <w:r w:rsidR="003F3562">
        <w:t>cases,</w:t>
      </w:r>
      <w:r w:rsidR="006C27DB">
        <w:t xml:space="preserve"> </w:t>
      </w:r>
      <w:r w:rsidR="008522F4">
        <w:t xml:space="preserve">an amount may be disregarded for LEL. </w:t>
      </w:r>
      <w:r w:rsidR="003F3562">
        <w:t>Also,</w:t>
      </w:r>
      <w:r w:rsidR="008522F4">
        <w:t xml:space="preserve"> may specified that certain elements of pay are to be disregarded.</w:t>
      </w:r>
    </w:p>
    <w:p w14:paraId="0EF3DDAC" w14:textId="77777777" w:rsidR="00EE7582" w:rsidRDefault="00EE7582" w:rsidP="00EE7582">
      <w:pPr>
        <w:pStyle w:val="ListParagraph"/>
      </w:pPr>
    </w:p>
    <w:p w14:paraId="725CCBBD" w14:textId="6076DC51" w:rsidR="00EE7582" w:rsidRPr="00EE7582" w:rsidRDefault="00EE7582" w:rsidP="00EE7582">
      <w:pPr>
        <w:pStyle w:val="ListParagraph"/>
        <w:rPr>
          <w:u w:val="single"/>
        </w:rPr>
      </w:pPr>
      <w:r w:rsidRPr="00EE7582">
        <w:rPr>
          <w:u w:val="single"/>
        </w:rPr>
        <w:t>CARE scheme:</w:t>
      </w:r>
    </w:p>
    <w:p w14:paraId="3F9AEFEE" w14:textId="77777777" w:rsidR="00723E3A" w:rsidRDefault="00EE7582" w:rsidP="00F13D84">
      <w:pPr>
        <w:pStyle w:val="ListParagraph"/>
        <w:numPr>
          <w:ilvl w:val="0"/>
          <w:numId w:val="2"/>
        </w:numPr>
      </w:pPr>
      <w:r>
        <w:t>Are increasing</w:t>
      </w:r>
      <w:r w:rsidR="00723E3A">
        <w:t xml:space="preserve"> their popularity to final salary schemes</w:t>
      </w:r>
    </w:p>
    <w:p w14:paraId="2FEAA3EE" w14:textId="77777777" w:rsidR="0066050F" w:rsidRDefault="00723E3A" w:rsidP="00F13D84">
      <w:pPr>
        <w:pStyle w:val="ListParagraph"/>
        <w:numPr>
          <w:ilvl w:val="0"/>
          <w:numId w:val="2"/>
        </w:numPr>
      </w:pPr>
      <w:r>
        <w:t xml:space="preserve">The principal difference </w:t>
      </w:r>
      <w:r w:rsidR="0066050F">
        <w:t>is the benefits reflect earnings throughout the period of membership rather than just in the period preceding date of leaving</w:t>
      </w:r>
    </w:p>
    <w:p w14:paraId="3822D07E" w14:textId="64FFA794" w:rsidR="00D3052F" w:rsidRDefault="00D3052F" w:rsidP="00F13D84">
      <w:pPr>
        <w:pStyle w:val="ListParagraph"/>
        <w:numPr>
          <w:ilvl w:val="0"/>
          <w:numId w:val="2"/>
        </w:numPr>
      </w:pPr>
      <w:r>
        <w:t>Benefits are accrued on a yearly basis and revalued each year</w:t>
      </w:r>
    </w:p>
    <w:p w14:paraId="6601DA5B" w14:textId="77777777" w:rsidR="008B347D" w:rsidRDefault="008B347D" w:rsidP="00F13D84">
      <w:pPr>
        <w:pStyle w:val="ListParagraph"/>
        <w:numPr>
          <w:ilvl w:val="0"/>
          <w:numId w:val="2"/>
        </w:numPr>
      </w:pPr>
      <w:r>
        <w:t>Offer a DB scheme whilst maintaining a measure of predictability and so more control over costs</w:t>
      </w:r>
    </w:p>
    <w:p w14:paraId="388B871E" w14:textId="6544F36D" w:rsidR="003F3562" w:rsidRDefault="003F3562" w:rsidP="00F13D84">
      <w:pPr>
        <w:pStyle w:val="ListParagraph"/>
        <w:numPr>
          <w:ilvl w:val="0"/>
          <w:numId w:val="2"/>
        </w:numPr>
      </w:pPr>
      <w:r>
        <w:t>Also,</w:t>
      </w:r>
      <w:r w:rsidR="006B1234">
        <w:t xml:space="preserve"> maybe more suitable to members with variable earnings</w:t>
      </w:r>
      <w:r w:rsidR="00855DC6">
        <w:t xml:space="preserve"> as it effectively averages the remuneration out over the members working lifetime</w:t>
      </w:r>
      <w:r>
        <w:t>.</w:t>
      </w:r>
    </w:p>
    <w:p w14:paraId="5BE84C4B" w14:textId="4E1A2497" w:rsidR="004A1BC5" w:rsidRDefault="004A1BC5" w:rsidP="004A1BC5">
      <w:pPr>
        <w:ind w:left="360"/>
      </w:pPr>
      <w:r>
        <w:t>(Relevant section</w:t>
      </w:r>
      <w:r w:rsidR="00F346F8">
        <w:t>s</w:t>
      </w:r>
      <w:r>
        <w:t xml:space="preserve"> of the manual is Part 4 Chapter </w:t>
      </w:r>
      <w:r w:rsidR="002955ED">
        <w:t>2.1.2</w:t>
      </w:r>
      <w:r>
        <w:t xml:space="preserve"> &amp; </w:t>
      </w:r>
      <w:r w:rsidR="002955ED">
        <w:t>2.1.3</w:t>
      </w:r>
      <w:r>
        <w:t>)</w:t>
      </w:r>
    </w:p>
    <w:p w14:paraId="7B7C11C8" w14:textId="78C5B5D9" w:rsidR="004A1BC5" w:rsidRDefault="004A1BC5" w:rsidP="004A1BC5"/>
    <w:p w14:paraId="53DE3E64" w14:textId="7EA6031A" w:rsidR="004A1BC5" w:rsidRPr="00053450" w:rsidRDefault="001D12E1" w:rsidP="00053450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What is a </w:t>
      </w:r>
      <w:r w:rsidR="00C07F03">
        <w:rPr>
          <w:b/>
          <w:bCs/>
        </w:rPr>
        <w:t>C</w:t>
      </w:r>
      <w:r>
        <w:rPr>
          <w:b/>
          <w:bCs/>
        </w:rPr>
        <w:t xml:space="preserve">ash </w:t>
      </w:r>
      <w:r w:rsidR="00C07F03">
        <w:rPr>
          <w:b/>
          <w:bCs/>
        </w:rPr>
        <w:t>B</w:t>
      </w:r>
      <w:r>
        <w:rPr>
          <w:b/>
          <w:bCs/>
        </w:rPr>
        <w:t xml:space="preserve">alance scheme? </w:t>
      </w:r>
    </w:p>
    <w:p w14:paraId="74091078" w14:textId="3730A0AB" w:rsidR="00753A28" w:rsidRDefault="00C2028F" w:rsidP="00753A28">
      <w:pPr>
        <w:jc w:val="right"/>
        <w:rPr>
          <w:b/>
          <w:bCs/>
        </w:rPr>
      </w:pPr>
      <w:r>
        <w:rPr>
          <w:b/>
          <w:bCs/>
        </w:rPr>
        <w:t>10</w:t>
      </w:r>
      <w:r w:rsidR="00753A28">
        <w:rPr>
          <w:b/>
          <w:bCs/>
        </w:rPr>
        <w:t xml:space="preserve"> Marks</w:t>
      </w:r>
    </w:p>
    <w:p w14:paraId="5BCFADCD" w14:textId="31A2C9BC" w:rsidR="009E4BD6" w:rsidRDefault="009E4BD6" w:rsidP="00053450">
      <w:pPr>
        <w:ind w:firstLine="360"/>
      </w:pPr>
      <w:r>
        <w:t>Answer should include the following:</w:t>
      </w:r>
    </w:p>
    <w:p w14:paraId="72BBF207" w14:textId="77777777" w:rsidR="0069536B" w:rsidRDefault="0069536B" w:rsidP="009E4BD6">
      <w:pPr>
        <w:pStyle w:val="ListParagraph"/>
        <w:numPr>
          <w:ilvl w:val="0"/>
          <w:numId w:val="5"/>
        </w:numPr>
      </w:pPr>
      <w:r>
        <w:t>DB schemes</w:t>
      </w:r>
    </w:p>
    <w:p w14:paraId="5FF04B97" w14:textId="77777777" w:rsidR="00C07F03" w:rsidRDefault="0069536B" w:rsidP="009E4BD6">
      <w:pPr>
        <w:pStyle w:val="ListParagraph"/>
        <w:numPr>
          <w:ilvl w:val="0"/>
          <w:numId w:val="5"/>
        </w:numPr>
      </w:pPr>
      <w:r>
        <w:t xml:space="preserve">Share some </w:t>
      </w:r>
      <w:r w:rsidR="00C07F03">
        <w:t>characteristics of money-purchase schemes</w:t>
      </w:r>
    </w:p>
    <w:p w14:paraId="783E49A3" w14:textId="77777777" w:rsidR="00C07F03" w:rsidRDefault="00C07F03" w:rsidP="009E4BD6">
      <w:pPr>
        <w:pStyle w:val="ListParagraph"/>
        <w:numPr>
          <w:ilvl w:val="0"/>
          <w:numId w:val="5"/>
        </w:numPr>
      </w:pPr>
      <w:r>
        <w:t>Contributions are paid each year by the employee and employer</w:t>
      </w:r>
    </w:p>
    <w:p w14:paraId="383FA1C3" w14:textId="1BEC018E" w:rsidR="009E4BD6" w:rsidRDefault="000B78BF" w:rsidP="009E4BD6">
      <w:pPr>
        <w:pStyle w:val="ListParagraph"/>
        <w:numPr>
          <w:ilvl w:val="0"/>
          <w:numId w:val="5"/>
        </w:numPr>
      </w:pPr>
      <w:r>
        <w:t>Contributions are invested and at retirement the member is provided a lump sum which can be used to provide a pension</w:t>
      </w:r>
    </w:p>
    <w:p w14:paraId="4804689F" w14:textId="163F71CB" w:rsidR="000B78BF" w:rsidRDefault="00DD643E" w:rsidP="009E4BD6">
      <w:pPr>
        <w:pStyle w:val="ListParagraph"/>
        <w:numPr>
          <w:ilvl w:val="0"/>
          <w:numId w:val="5"/>
        </w:numPr>
      </w:pPr>
      <w:r>
        <w:t>The cash sum is defined at the outset and does not depend on investment return</w:t>
      </w:r>
    </w:p>
    <w:p w14:paraId="1AFD2FBF" w14:textId="6D995FDC" w:rsidR="00DD643E" w:rsidRDefault="00DD643E" w:rsidP="009E4BD6">
      <w:pPr>
        <w:pStyle w:val="ListParagraph"/>
        <w:numPr>
          <w:ilvl w:val="0"/>
          <w:numId w:val="5"/>
        </w:numPr>
      </w:pPr>
      <w:r>
        <w:t>The employer will make up any shortfall</w:t>
      </w:r>
    </w:p>
    <w:p w14:paraId="2FFF5CEE" w14:textId="5F0D63C5" w:rsidR="00DD643E" w:rsidRDefault="00991F44" w:rsidP="009E4BD6">
      <w:pPr>
        <w:pStyle w:val="ListParagraph"/>
        <w:numPr>
          <w:ilvl w:val="0"/>
          <w:numId w:val="5"/>
        </w:numPr>
      </w:pPr>
      <w:r>
        <w:t xml:space="preserve">Lump sum can be defined and known in </w:t>
      </w:r>
      <w:r w:rsidR="00FF4BBD">
        <w:t>advance, but the amount of pension payable will depend on market conditions at retirement.</w:t>
      </w:r>
    </w:p>
    <w:p w14:paraId="1FB95702" w14:textId="763053BC" w:rsidR="009D01EF" w:rsidRDefault="009D01EF" w:rsidP="009E4BD6">
      <w:pPr>
        <w:pStyle w:val="ListParagraph"/>
        <w:numPr>
          <w:ilvl w:val="0"/>
          <w:numId w:val="5"/>
        </w:numPr>
      </w:pPr>
      <w:r>
        <w:t xml:space="preserve">For </w:t>
      </w:r>
      <w:r w:rsidR="00E849F4">
        <w:t>example,</w:t>
      </w:r>
      <w:r>
        <w:t xml:space="preserve"> a company might</w:t>
      </w:r>
      <w:r w:rsidR="00BC1E72">
        <w:t xml:space="preserve"> set up a cash balance scheme </w:t>
      </w:r>
      <w:r w:rsidR="004144B3">
        <w:t>and member</w:t>
      </w:r>
      <w:r w:rsidR="00C2028F">
        <w:t>s</w:t>
      </w:r>
      <w:r w:rsidR="004144B3">
        <w:t xml:space="preserve"> </w:t>
      </w:r>
      <w:r w:rsidR="00C2028F">
        <w:t>are</w:t>
      </w:r>
      <w:r w:rsidR="004144B3">
        <w:t xml:space="preserve"> required to pay 5% of salary each year in return for a lump sum of 20% of final sal</w:t>
      </w:r>
      <w:r w:rsidR="00E849F4">
        <w:t xml:space="preserve">ary for each year of membership. Or alternatively, the rules might stipulate the contribution rate and </w:t>
      </w:r>
      <w:r w:rsidR="00C2028F">
        <w:t>the rate of investment return to be allocated.</w:t>
      </w:r>
    </w:p>
    <w:p w14:paraId="5F7ECE36" w14:textId="637AFA5D" w:rsidR="002C05AA" w:rsidRDefault="002C05AA" w:rsidP="002C05AA">
      <w:pPr>
        <w:ind w:left="360"/>
      </w:pPr>
      <w:r>
        <w:t>(Relevant section of the manual is Part 4 Chapter 2.</w:t>
      </w:r>
      <w:r w:rsidR="00C2028F">
        <w:t>1.5</w:t>
      </w:r>
      <w:r>
        <w:t>)</w:t>
      </w:r>
    </w:p>
    <w:p w14:paraId="53CAF825" w14:textId="2C9E84C6" w:rsidR="002C05AA" w:rsidRDefault="002C05AA" w:rsidP="002C05AA"/>
    <w:p w14:paraId="53FF1F03" w14:textId="16DCDEBB" w:rsidR="00EE370F" w:rsidRPr="00053450" w:rsidRDefault="00A0677B" w:rsidP="00053450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Outline what a collective defined contribution scheme is</w:t>
      </w:r>
      <w:r w:rsidR="000C33F0" w:rsidRPr="00053450">
        <w:rPr>
          <w:b/>
          <w:bCs/>
        </w:rPr>
        <w:t>.</w:t>
      </w:r>
    </w:p>
    <w:p w14:paraId="2E2241B0" w14:textId="5D473FE0" w:rsidR="000C33F0" w:rsidRDefault="000C33F0" w:rsidP="000C33F0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1335684D" w14:textId="325959F1" w:rsidR="000C33F0" w:rsidRDefault="000C33F0" w:rsidP="00053450">
      <w:pPr>
        <w:ind w:firstLine="360"/>
      </w:pPr>
      <w:r>
        <w:t>Answer should include the following:</w:t>
      </w:r>
    </w:p>
    <w:p w14:paraId="566CDA4E" w14:textId="77777777" w:rsidR="003D4670" w:rsidRDefault="003D4670" w:rsidP="000C33F0">
      <w:pPr>
        <w:pStyle w:val="ListParagraph"/>
        <w:numPr>
          <w:ilvl w:val="0"/>
          <w:numId w:val="10"/>
        </w:numPr>
      </w:pPr>
      <w:r>
        <w:t>The Pension Schemes Act 2021 sets out the framework – CDC schemes</w:t>
      </w:r>
    </w:p>
    <w:p w14:paraId="4CB94627" w14:textId="77777777" w:rsidR="00AE3D7C" w:rsidRDefault="00AE3D7C" w:rsidP="000C33F0">
      <w:pPr>
        <w:pStyle w:val="ListParagraph"/>
        <w:numPr>
          <w:ilvl w:val="0"/>
          <w:numId w:val="10"/>
        </w:numPr>
      </w:pPr>
      <w:r>
        <w:t>Pool risks and costs between members</w:t>
      </w:r>
    </w:p>
    <w:p w14:paraId="2F887DA7" w14:textId="77777777" w:rsidR="00AE3D7C" w:rsidRDefault="00AE3D7C" w:rsidP="000C33F0">
      <w:pPr>
        <w:pStyle w:val="ListParagraph"/>
        <w:numPr>
          <w:ilvl w:val="0"/>
          <w:numId w:val="10"/>
        </w:numPr>
      </w:pPr>
      <w:r>
        <w:t>Offer a targeted but not guaranteed level of income at retirement</w:t>
      </w:r>
    </w:p>
    <w:p w14:paraId="7CF064F5" w14:textId="6131F355" w:rsidR="008A787E" w:rsidRDefault="00253FE1" w:rsidP="000C33F0">
      <w:pPr>
        <w:pStyle w:val="ListParagraph"/>
        <w:numPr>
          <w:ilvl w:val="0"/>
          <w:numId w:val="10"/>
        </w:numPr>
      </w:pPr>
      <w:r>
        <w:t xml:space="preserve">Employer will benefit from </w:t>
      </w:r>
      <w:r w:rsidR="008A787E">
        <w:t>fixed cost</w:t>
      </w:r>
      <w:r>
        <w:t xml:space="preserve"> defined contributions</w:t>
      </w:r>
    </w:p>
    <w:p w14:paraId="5450E788" w14:textId="40A0D2E7" w:rsidR="008A787E" w:rsidRDefault="008A787E" w:rsidP="000C33F0">
      <w:pPr>
        <w:pStyle w:val="ListParagraph"/>
        <w:numPr>
          <w:ilvl w:val="0"/>
          <w:numId w:val="10"/>
        </w:numPr>
      </w:pPr>
      <w:r>
        <w:lastRenderedPageBreak/>
        <w:t xml:space="preserve">The Pensions Regulator </w:t>
      </w:r>
      <w:r w:rsidR="007A1126">
        <w:t xml:space="preserve">laid down a code of practice in June 2022 which detailed the necessary criteria </w:t>
      </w:r>
      <w:r w:rsidR="00D64724">
        <w:t xml:space="preserve">for authorisation </w:t>
      </w:r>
      <w:r w:rsidR="00D04526">
        <w:t>and the ongoing supervision.</w:t>
      </w:r>
    </w:p>
    <w:p w14:paraId="238EF96B" w14:textId="77777777" w:rsidR="001265D5" w:rsidRPr="00F166A7" w:rsidRDefault="001265D5" w:rsidP="001265D5">
      <w:pPr>
        <w:pStyle w:val="ListParagraph"/>
      </w:pPr>
    </w:p>
    <w:p w14:paraId="7B32365A" w14:textId="10C0FA39" w:rsidR="001265D5" w:rsidRDefault="001265D5" w:rsidP="001265D5">
      <w:pPr>
        <w:ind w:left="360"/>
      </w:pPr>
      <w:r>
        <w:t>(Relevant section of the manual is Part 4 Chapter 2.</w:t>
      </w:r>
      <w:r w:rsidR="00D04526">
        <w:t>2.2</w:t>
      </w:r>
      <w:r>
        <w:t>)</w:t>
      </w:r>
    </w:p>
    <w:p w14:paraId="483F2925" w14:textId="77777777" w:rsidR="00EE370F" w:rsidRDefault="00EE370F" w:rsidP="00533EC2">
      <w:pPr>
        <w:rPr>
          <w:b/>
          <w:bCs/>
        </w:rPr>
      </w:pPr>
    </w:p>
    <w:p w14:paraId="1A98C87B" w14:textId="15F39211" w:rsidR="00633120" w:rsidRPr="00053450" w:rsidRDefault="00533EC2" w:rsidP="00053450">
      <w:pPr>
        <w:pStyle w:val="ListParagraph"/>
        <w:numPr>
          <w:ilvl w:val="0"/>
          <w:numId w:val="11"/>
        </w:numPr>
        <w:rPr>
          <w:b/>
          <w:bCs/>
        </w:rPr>
      </w:pPr>
      <w:r w:rsidRPr="00053450">
        <w:rPr>
          <w:b/>
          <w:bCs/>
        </w:rPr>
        <w:t>Write short notes on</w:t>
      </w:r>
      <w:r w:rsidR="002A72D8">
        <w:rPr>
          <w:b/>
          <w:bCs/>
        </w:rPr>
        <w:t xml:space="preserve"> </w:t>
      </w:r>
      <w:proofErr w:type="gramStart"/>
      <w:r w:rsidR="002A72D8">
        <w:rPr>
          <w:b/>
          <w:bCs/>
        </w:rPr>
        <w:t>small self-administered</w:t>
      </w:r>
      <w:proofErr w:type="gramEnd"/>
      <w:r w:rsidR="002A72D8">
        <w:rPr>
          <w:b/>
          <w:bCs/>
        </w:rPr>
        <w:t xml:space="preserve"> schemes and other executive arrangements</w:t>
      </w:r>
      <w:r w:rsidRPr="00053450">
        <w:rPr>
          <w:b/>
          <w:bCs/>
        </w:rPr>
        <w:t>.</w:t>
      </w:r>
    </w:p>
    <w:p w14:paraId="676B57FD" w14:textId="592B79CC" w:rsidR="00B24F93" w:rsidRPr="00533EC2" w:rsidRDefault="00B24F93" w:rsidP="00B24F93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00D1DEA9" w14:textId="77777777" w:rsidR="00533EC2" w:rsidRDefault="00533EC2" w:rsidP="00053450">
      <w:pPr>
        <w:ind w:firstLine="360"/>
      </w:pPr>
      <w:r>
        <w:t>Answer should cover the following:</w:t>
      </w:r>
    </w:p>
    <w:p w14:paraId="075219B7" w14:textId="4B4CD0DA" w:rsidR="002A72D8" w:rsidRDefault="001F43DE" w:rsidP="00533EC2">
      <w:pPr>
        <w:pStyle w:val="ListParagraph"/>
        <w:numPr>
          <w:ilvl w:val="0"/>
          <w:numId w:val="7"/>
        </w:numPr>
      </w:pPr>
      <w:r>
        <w:t>SSAS – a trust based occupational scheme</w:t>
      </w:r>
    </w:p>
    <w:p w14:paraId="5CF51F39" w14:textId="7BA650B5" w:rsidR="001F43DE" w:rsidRDefault="001F43DE" w:rsidP="00533EC2">
      <w:pPr>
        <w:pStyle w:val="ListParagraph"/>
        <w:numPr>
          <w:ilvl w:val="0"/>
          <w:numId w:val="7"/>
        </w:numPr>
      </w:pPr>
      <w:r>
        <w:t>For a small number of employees</w:t>
      </w:r>
      <w:r w:rsidR="00D97064">
        <w:t xml:space="preserve"> – directors / key staff</w:t>
      </w:r>
    </w:p>
    <w:p w14:paraId="3673386D" w14:textId="3560597B" w:rsidR="00D97064" w:rsidRDefault="00D97064" w:rsidP="00533EC2">
      <w:pPr>
        <w:pStyle w:val="ListParagraph"/>
        <w:numPr>
          <w:ilvl w:val="0"/>
          <w:numId w:val="7"/>
        </w:numPr>
      </w:pPr>
      <w:r>
        <w:t xml:space="preserve">Members </w:t>
      </w:r>
      <w:proofErr w:type="gramStart"/>
      <w:r>
        <w:t>are able to</w:t>
      </w:r>
      <w:proofErr w:type="gramEnd"/>
      <w:r>
        <w:t xml:space="preserve"> direct / control investments</w:t>
      </w:r>
    </w:p>
    <w:p w14:paraId="4C55992D" w14:textId="789C36D4" w:rsidR="00292398" w:rsidRDefault="00292398" w:rsidP="00533EC2">
      <w:pPr>
        <w:pStyle w:val="ListParagraph"/>
        <w:numPr>
          <w:ilvl w:val="0"/>
          <w:numId w:val="7"/>
        </w:numPr>
      </w:pPr>
      <w:r>
        <w:t>Classed as investment regulated pension schemes and subject to special tax rules</w:t>
      </w:r>
    </w:p>
    <w:p w14:paraId="1BF0591B" w14:textId="64C79A28" w:rsidR="00292398" w:rsidRDefault="00292398" w:rsidP="00533EC2">
      <w:pPr>
        <w:pStyle w:val="ListParagraph"/>
        <w:numPr>
          <w:ilvl w:val="0"/>
          <w:numId w:val="7"/>
        </w:numPr>
      </w:pPr>
      <w:r>
        <w:t xml:space="preserve">Prior to 6 April 2006 – required to have an </w:t>
      </w:r>
      <w:r w:rsidR="00126AA9">
        <w:t>experienced professional trustee from an approved list of pensioneer trustees. No longer required</w:t>
      </w:r>
    </w:p>
    <w:p w14:paraId="5871D5C2" w14:textId="3634C991" w:rsidR="00126AA9" w:rsidRDefault="001C7085" w:rsidP="00533EC2">
      <w:pPr>
        <w:pStyle w:val="ListParagraph"/>
        <w:numPr>
          <w:ilvl w:val="0"/>
          <w:numId w:val="7"/>
        </w:numPr>
      </w:pPr>
      <w:r>
        <w:t xml:space="preserve">Executive schemes (historically known as top hat schemes) – offer a higher level </w:t>
      </w:r>
      <w:r w:rsidR="00682A72">
        <w:t>of benefits than that provided by the standard company pension scheme offered to majority of employees</w:t>
      </w:r>
    </w:p>
    <w:p w14:paraId="22258762" w14:textId="6B74BE0C" w:rsidR="00682A72" w:rsidRDefault="007F303E" w:rsidP="00533EC2">
      <w:pPr>
        <w:pStyle w:val="ListParagraph"/>
        <w:numPr>
          <w:ilvl w:val="0"/>
          <w:numId w:val="7"/>
        </w:numPr>
      </w:pPr>
      <w:r>
        <w:t>Top up / supplementary scheme sits alongside the main scheme</w:t>
      </w:r>
    </w:p>
    <w:p w14:paraId="78ABD40F" w14:textId="4117D0BC" w:rsidR="00AC7107" w:rsidRDefault="00AC7107" w:rsidP="00533EC2">
      <w:pPr>
        <w:pStyle w:val="ListParagraph"/>
        <w:numPr>
          <w:ilvl w:val="0"/>
          <w:numId w:val="7"/>
        </w:numPr>
      </w:pPr>
      <w:r>
        <w:t>Executive entitled to benefits from main scheme and topped up by the executive scheme</w:t>
      </w:r>
    </w:p>
    <w:p w14:paraId="49AF9F6D" w14:textId="31F234E8" w:rsidR="00A27BE8" w:rsidRDefault="00A27BE8" w:rsidP="00533EC2">
      <w:pPr>
        <w:pStyle w:val="ListParagraph"/>
        <w:numPr>
          <w:ilvl w:val="0"/>
          <w:numId w:val="7"/>
        </w:numPr>
      </w:pPr>
      <w:r>
        <w:t>Executive retires, the benefits are aggregated</w:t>
      </w:r>
    </w:p>
    <w:p w14:paraId="33E488A4" w14:textId="15C950B2" w:rsidR="00A27BE8" w:rsidRDefault="00A27BE8" w:rsidP="00533EC2">
      <w:pPr>
        <w:pStyle w:val="ListParagraph"/>
        <w:numPr>
          <w:ilvl w:val="0"/>
          <w:numId w:val="7"/>
        </w:numPr>
      </w:pPr>
      <w:r>
        <w:t>Section 226 policies</w:t>
      </w:r>
      <w:r w:rsidR="00A47353">
        <w:t xml:space="preserve"> – legacy arrangements</w:t>
      </w:r>
    </w:p>
    <w:p w14:paraId="672986FE" w14:textId="2718ACB5" w:rsidR="00A47353" w:rsidRDefault="00A47353" w:rsidP="00533EC2">
      <w:pPr>
        <w:pStyle w:val="ListParagraph"/>
        <w:numPr>
          <w:ilvl w:val="0"/>
          <w:numId w:val="7"/>
        </w:numPr>
      </w:pPr>
      <w:r>
        <w:t xml:space="preserve">Exceed annual allowance / lifetime allowance thresholds, </w:t>
      </w:r>
      <w:r w:rsidR="000A564F">
        <w:t xml:space="preserve">company may provide additional benefits from an employer-financed retirement benefits scheme. </w:t>
      </w:r>
    </w:p>
    <w:p w14:paraId="04EF54F5" w14:textId="5BBC9006" w:rsidR="00B24F93" w:rsidRDefault="00B24F93" w:rsidP="00B24F93">
      <w:pPr>
        <w:ind w:left="360"/>
      </w:pPr>
      <w:r>
        <w:t>(Relevant section of the manual is Part 4 Chapter 2.3.</w:t>
      </w:r>
      <w:r w:rsidR="00DF735D">
        <w:t>5</w:t>
      </w:r>
      <w:r>
        <w:t>)</w:t>
      </w:r>
    </w:p>
    <w:p w14:paraId="45BD1BC0" w14:textId="03BF64C4" w:rsidR="00403CC4" w:rsidRDefault="00403CC4" w:rsidP="00B24F93">
      <w:pPr>
        <w:rPr>
          <w:b/>
          <w:bCs/>
        </w:rPr>
      </w:pPr>
    </w:p>
    <w:p w14:paraId="506BE292" w14:textId="77777777" w:rsidR="00D6711E" w:rsidRDefault="00D6711E" w:rsidP="00B24F93">
      <w:pPr>
        <w:rPr>
          <w:b/>
          <w:bCs/>
        </w:rPr>
      </w:pPr>
    </w:p>
    <w:p w14:paraId="12175090" w14:textId="5893DCD2" w:rsidR="00B24F93" w:rsidRPr="00053450" w:rsidRDefault="00F16068" w:rsidP="00053450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Explain the term ‘short service </w:t>
      </w:r>
      <w:proofErr w:type="gramStart"/>
      <w:r w:rsidR="00B67891">
        <w:rPr>
          <w:b/>
          <w:bCs/>
        </w:rPr>
        <w:t>refunds’</w:t>
      </w:r>
      <w:proofErr w:type="gramEnd"/>
      <w:r w:rsidR="00851074" w:rsidRPr="00053450">
        <w:rPr>
          <w:b/>
          <w:bCs/>
        </w:rPr>
        <w:t>?</w:t>
      </w:r>
    </w:p>
    <w:p w14:paraId="58431067" w14:textId="068839ED" w:rsidR="00851074" w:rsidRDefault="00851074" w:rsidP="00851074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5E563B02" w14:textId="77777777" w:rsidR="00851074" w:rsidRDefault="00851074" w:rsidP="00053450">
      <w:pPr>
        <w:ind w:firstLine="360"/>
      </w:pPr>
      <w:r>
        <w:t>Answer should cover the following:</w:t>
      </w:r>
    </w:p>
    <w:p w14:paraId="54D33E30" w14:textId="2B88C770" w:rsidR="00213EAE" w:rsidRDefault="00213EAE" w:rsidP="00851074">
      <w:pPr>
        <w:pStyle w:val="ListParagraph"/>
        <w:numPr>
          <w:ilvl w:val="0"/>
          <w:numId w:val="8"/>
        </w:numPr>
      </w:pPr>
      <w:r>
        <w:t>Trust based schemes were able to offer short service refunds to members who leave with less than 2 years’ service</w:t>
      </w:r>
    </w:p>
    <w:p w14:paraId="5EA6F935" w14:textId="77777777" w:rsidR="00031219" w:rsidRDefault="00031219" w:rsidP="00851074">
      <w:pPr>
        <w:pStyle w:val="ListParagraph"/>
        <w:numPr>
          <w:ilvl w:val="0"/>
          <w:numId w:val="8"/>
        </w:numPr>
      </w:pPr>
      <w:r>
        <w:t>Not include employer contributions</w:t>
      </w:r>
    </w:p>
    <w:p w14:paraId="4A7B351B" w14:textId="465F3CAE" w:rsidR="00031219" w:rsidRDefault="00031219" w:rsidP="00851074">
      <w:pPr>
        <w:pStyle w:val="ListParagraph"/>
        <w:numPr>
          <w:ilvl w:val="0"/>
          <w:numId w:val="8"/>
        </w:numPr>
      </w:pPr>
      <w:r>
        <w:t>Contract based schemes not permitted to offer short service refunds</w:t>
      </w:r>
      <w:r w:rsidR="0029670F">
        <w:t xml:space="preserve"> except for cooling off period of </w:t>
      </w:r>
      <w:r w:rsidR="00026494">
        <w:t>30 days service</w:t>
      </w:r>
    </w:p>
    <w:p w14:paraId="3E446A5B" w14:textId="77777777" w:rsidR="00B67891" w:rsidRDefault="00B55E49" w:rsidP="00851074">
      <w:pPr>
        <w:pStyle w:val="ListParagraph"/>
        <w:numPr>
          <w:ilvl w:val="0"/>
          <w:numId w:val="8"/>
        </w:numPr>
      </w:pPr>
      <w:r>
        <w:t>However, short service refunds now been abolished for new entrants from 1 October 2015</w:t>
      </w:r>
      <w:r w:rsidR="00B67891">
        <w:t>.</w:t>
      </w:r>
    </w:p>
    <w:p w14:paraId="73FBECD2" w14:textId="33EDCB1B" w:rsidR="00053450" w:rsidRDefault="00696410" w:rsidP="00D6711E">
      <w:pPr>
        <w:ind w:left="360"/>
      </w:pPr>
      <w:r>
        <w:t xml:space="preserve">(Relevant section of the manual is Part 4 Chapter </w:t>
      </w:r>
      <w:r w:rsidR="00B67891">
        <w:t>3.1.2</w:t>
      </w:r>
      <w:r>
        <w:t>)</w:t>
      </w:r>
    </w:p>
    <w:p w14:paraId="3614180A" w14:textId="77777777" w:rsidR="00053450" w:rsidRDefault="00053450" w:rsidP="00696410"/>
    <w:p w14:paraId="6933D415" w14:textId="77777777" w:rsidR="00753A28" w:rsidRPr="00753A28" w:rsidRDefault="00753A28" w:rsidP="00753A28">
      <w:pPr>
        <w:rPr>
          <w:b/>
          <w:bCs/>
        </w:rPr>
      </w:pPr>
    </w:p>
    <w:sectPr w:rsidR="00753A28" w:rsidRPr="00753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6C7"/>
    <w:multiLevelType w:val="hybridMultilevel"/>
    <w:tmpl w:val="B90A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888"/>
    <w:multiLevelType w:val="hybridMultilevel"/>
    <w:tmpl w:val="BA32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444"/>
    <w:multiLevelType w:val="hybridMultilevel"/>
    <w:tmpl w:val="EB0A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1DE2"/>
    <w:multiLevelType w:val="hybridMultilevel"/>
    <w:tmpl w:val="2A10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29CF"/>
    <w:multiLevelType w:val="hybridMultilevel"/>
    <w:tmpl w:val="FC08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5FC"/>
    <w:multiLevelType w:val="hybridMultilevel"/>
    <w:tmpl w:val="D690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559A5"/>
    <w:multiLevelType w:val="hybridMultilevel"/>
    <w:tmpl w:val="C66A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736D"/>
    <w:multiLevelType w:val="hybridMultilevel"/>
    <w:tmpl w:val="E4927B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DF2ED5"/>
    <w:multiLevelType w:val="hybridMultilevel"/>
    <w:tmpl w:val="A28C5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40F1D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C7AFB"/>
    <w:multiLevelType w:val="hybridMultilevel"/>
    <w:tmpl w:val="71BE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41"/>
    <w:rsid w:val="00013B56"/>
    <w:rsid w:val="00026494"/>
    <w:rsid w:val="00031219"/>
    <w:rsid w:val="00035393"/>
    <w:rsid w:val="000415BC"/>
    <w:rsid w:val="000472CD"/>
    <w:rsid w:val="00053450"/>
    <w:rsid w:val="000621B1"/>
    <w:rsid w:val="000910DA"/>
    <w:rsid w:val="000A564F"/>
    <w:rsid w:val="000B559B"/>
    <w:rsid w:val="000B78BF"/>
    <w:rsid w:val="000C33F0"/>
    <w:rsid w:val="000F443B"/>
    <w:rsid w:val="00125097"/>
    <w:rsid w:val="001265D5"/>
    <w:rsid w:val="00126AA9"/>
    <w:rsid w:val="0013257B"/>
    <w:rsid w:val="001532C8"/>
    <w:rsid w:val="00167247"/>
    <w:rsid w:val="0018511C"/>
    <w:rsid w:val="001965E5"/>
    <w:rsid w:val="001A1A65"/>
    <w:rsid w:val="001A6BFB"/>
    <w:rsid w:val="001C502D"/>
    <w:rsid w:val="001C7085"/>
    <w:rsid w:val="001D12E1"/>
    <w:rsid w:val="001E3487"/>
    <w:rsid w:val="001F43DE"/>
    <w:rsid w:val="001F4E39"/>
    <w:rsid w:val="00213EAE"/>
    <w:rsid w:val="00253FE1"/>
    <w:rsid w:val="00267719"/>
    <w:rsid w:val="00292398"/>
    <w:rsid w:val="002955ED"/>
    <w:rsid w:val="0029670F"/>
    <w:rsid w:val="002A72D8"/>
    <w:rsid w:val="002B2ED6"/>
    <w:rsid w:val="002C05AA"/>
    <w:rsid w:val="00374F17"/>
    <w:rsid w:val="003813BB"/>
    <w:rsid w:val="003A4827"/>
    <w:rsid w:val="003C2EC0"/>
    <w:rsid w:val="003D4670"/>
    <w:rsid w:val="003F3562"/>
    <w:rsid w:val="00403CC4"/>
    <w:rsid w:val="004144B3"/>
    <w:rsid w:val="00446D96"/>
    <w:rsid w:val="0044785E"/>
    <w:rsid w:val="0046770D"/>
    <w:rsid w:val="00470817"/>
    <w:rsid w:val="00491C06"/>
    <w:rsid w:val="00492984"/>
    <w:rsid w:val="004A1BC5"/>
    <w:rsid w:val="004A1E45"/>
    <w:rsid w:val="004E576B"/>
    <w:rsid w:val="00533EC2"/>
    <w:rsid w:val="00565929"/>
    <w:rsid w:val="0059189F"/>
    <w:rsid w:val="005938FB"/>
    <w:rsid w:val="005B570B"/>
    <w:rsid w:val="005D6018"/>
    <w:rsid w:val="00607A32"/>
    <w:rsid w:val="00633120"/>
    <w:rsid w:val="006503EF"/>
    <w:rsid w:val="0066050F"/>
    <w:rsid w:val="00682A59"/>
    <w:rsid w:val="00682A72"/>
    <w:rsid w:val="0069536B"/>
    <w:rsid w:val="00696410"/>
    <w:rsid w:val="006B1234"/>
    <w:rsid w:val="006C27DB"/>
    <w:rsid w:val="006D7F8E"/>
    <w:rsid w:val="00701F78"/>
    <w:rsid w:val="00723333"/>
    <w:rsid w:val="00723E3A"/>
    <w:rsid w:val="00753A28"/>
    <w:rsid w:val="007A1126"/>
    <w:rsid w:val="007A38E3"/>
    <w:rsid w:val="007D6197"/>
    <w:rsid w:val="007F303E"/>
    <w:rsid w:val="007F6632"/>
    <w:rsid w:val="0080602A"/>
    <w:rsid w:val="0081712D"/>
    <w:rsid w:val="008360B7"/>
    <w:rsid w:val="008403CF"/>
    <w:rsid w:val="00851074"/>
    <w:rsid w:val="008522F4"/>
    <w:rsid w:val="00855DC6"/>
    <w:rsid w:val="008A787E"/>
    <w:rsid w:val="008B347D"/>
    <w:rsid w:val="008D5B21"/>
    <w:rsid w:val="008E211A"/>
    <w:rsid w:val="008E73E7"/>
    <w:rsid w:val="00917AE2"/>
    <w:rsid w:val="00931397"/>
    <w:rsid w:val="00991F44"/>
    <w:rsid w:val="009D01EF"/>
    <w:rsid w:val="009E4BD6"/>
    <w:rsid w:val="009F69A8"/>
    <w:rsid w:val="00A0677B"/>
    <w:rsid w:val="00A13441"/>
    <w:rsid w:val="00A16184"/>
    <w:rsid w:val="00A27BE8"/>
    <w:rsid w:val="00A4363E"/>
    <w:rsid w:val="00A47353"/>
    <w:rsid w:val="00AA5E88"/>
    <w:rsid w:val="00AC7107"/>
    <w:rsid w:val="00AE3D7C"/>
    <w:rsid w:val="00AE6D67"/>
    <w:rsid w:val="00B24F93"/>
    <w:rsid w:val="00B37C1B"/>
    <w:rsid w:val="00B47C83"/>
    <w:rsid w:val="00B55E49"/>
    <w:rsid w:val="00B67891"/>
    <w:rsid w:val="00BA3B30"/>
    <w:rsid w:val="00BA5D73"/>
    <w:rsid w:val="00BC1E72"/>
    <w:rsid w:val="00BC20A2"/>
    <w:rsid w:val="00C035F5"/>
    <w:rsid w:val="00C07F03"/>
    <w:rsid w:val="00C2028F"/>
    <w:rsid w:val="00C33A6F"/>
    <w:rsid w:val="00C41465"/>
    <w:rsid w:val="00C725B3"/>
    <w:rsid w:val="00CA0FDB"/>
    <w:rsid w:val="00CD0E1C"/>
    <w:rsid w:val="00D04526"/>
    <w:rsid w:val="00D05331"/>
    <w:rsid w:val="00D3052F"/>
    <w:rsid w:val="00D641C3"/>
    <w:rsid w:val="00D64724"/>
    <w:rsid w:val="00D6711E"/>
    <w:rsid w:val="00D8225B"/>
    <w:rsid w:val="00D97064"/>
    <w:rsid w:val="00DD643E"/>
    <w:rsid w:val="00DF735D"/>
    <w:rsid w:val="00E80BAA"/>
    <w:rsid w:val="00E849F4"/>
    <w:rsid w:val="00E97268"/>
    <w:rsid w:val="00EE370F"/>
    <w:rsid w:val="00EE72DD"/>
    <w:rsid w:val="00EE7582"/>
    <w:rsid w:val="00EF5E24"/>
    <w:rsid w:val="00F13D84"/>
    <w:rsid w:val="00F16068"/>
    <w:rsid w:val="00F166A7"/>
    <w:rsid w:val="00F346F8"/>
    <w:rsid w:val="00F74D9D"/>
    <w:rsid w:val="00F83ABC"/>
    <w:rsid w:val="00FB16CC"/>
    <w:rsid w:val="00FD2B8B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82BB"/>
  <w15:chartTrackingRefBased/>
  <w15:docId w15:val="{8EA5A348-9F7A-49D4-B8C7-7AD1D155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711E"/>
    <w:pPr>
      <w:widowControl w:val="0"/>
      <w:autoSpaceDE w:val="0"/>
      <w:autoSpaceDN w:val="0"/>
      <w:spacing w:before="27" w:after="0" w:line="240" w:lineRule="auto"/>
      <w:ind w:left="1054" w:right="2648"/>
      <w:jc w:val="center"/>
      <w:outlineLvl w:val="0"/>
    </w:pPr>
    <w:rPr>
      <w:rFonts w:ascii="Carlito" w:eastAsia="Carlito" w:hAnsi="Carlito" w:cs="Carlito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711E"/>
    <w:rPr>
      <w:rFonts w:ascii="Carlito" w:eastAsia="Carlito" w:hAnsi="Carlito" w:cs="Carlito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Spillings, Tara (Capita Experience Pension Solutions)</cp:lastModifiedBy>
  <cp:revision>2</cp:revision>
  <dcterms:created xsi:type="dcterms:W3CDTF">2022-10-22T15:12:00Z</dcterms:created>
  <dcterms:modified xsi:type="dcterms:W3CDTF">2022-10-22T15:12:00Z</dcterms:modified>
</cp:coreProperties>
</file>