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BF81" w14:textId="0D837CDD" w:rsidR="001E053B" w:rsidRDefault="001E053B" w:rsidP="001E053B">
      <w:pPr>
        <w:spacing w:after="0"/>
        <w:jc w:val="right"/>
        <w:rPr>
          <w:b/>
          <w:bCs/>
          <w:lang w:val="en-US"/>
        </w:rPr>
      </w:pPr>
      <w:r>
        <w:rPr>
          <w:noProof/>
        </w:rPr>
        <w:drawing>
          <wp:anchor distT="0" distB="0" distL="114300" distR="114300" simplePos="0" relativeHeight="251659264" behindDoc="0" locked="0" layoutInCell="1" allowOverlap="1" wp14:anchorId="1D3D4131" wp14:editId="34E342B9">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1B919560" w14:textId="77777777" w:rsidR="001E053B" w:rsidRDefault="001E053B" w:rsidP="001E053B">
      <w:pPr>
        <w:spacing w:after="0"/>
        <w:jc w:val="right"/>
        <w:rPr>
          <w:b/>
          <w:bCs/>
          <w:lang w:val="en-US"/>
        </w:rPr>
      </w:pPr>
      <w:r>
        <w:rPr>
          <w:lang w:val="en-US"/>
        </w:rPr>
        <w:t xml:space="preserve">60 Goswell Road </w:t>
      </w:r>
    </w:p>
    <w:p w14:paraId="3B1C51BA" w14:textId="77777777" w:rsidR="001E053B" w:rsidRDefault="001E053B" w:rsidP="001E053B">
      <w:pPr>
        <w:spacing w:after="0"/>
        <w:jc w:val="right"/>
        <w:rPr>
          <w:b/>
          <w:bCs/>
          <w:lang w:val="en-US"/>
        </w:rPr>
      </w:pPr>
      <w:r>
        <w:rPr>
          <w:lang w:val="en-US"/>
        </w:rPr>
        <w:t xml:space="preserve">London </w:t>
      </w:r>
    </w:p>
    <w:p w14:paraId="48781BD8" w14:textId="77777777" w:rsidR="001E053B" w:rsidRDefault="001E053B" w:rsidP="001E053B">
      <w:pPr>
        <w:spacing w:after="0"/>
        <w:jc w:val="right"/>
        <w:rPr>
          <w:b/>
          <w:bCs/>
          <w:lang w:val="en-US"/>
        </w:rPr>
      </w:pPr>
      <w:r>
        <w:rPr>
          <w:lang w:val="en-US"/>
        </w:rPr>
        <w:t xml:space="preserve">EC1M 7AD </w:t>
      </w:r>
    </w:p>
    <w:p w14:paraId="42D10E0D" w14:textId="77777777" w:rsidR="001E053B" w:rsidRDefault="001E053B" w:rsidP="001E053B">
      <w:pPr>
        <w:spacing w:after="0"/>
        <w:jc w:val="right"/>
        <w:rPr>
          <w:b/>
          <w:bCs/>
          <w:lang w:val="en-US"/>
        </w:rPr>
      </w:pPr>
      <w:r>
        <w:rPr>
          <w:lang w:val="en-US"/>
        </w:rPr>
        <w:t xml:space="preserve">T: +44 (0) 20 7247 1452 </w:t>
      </w:r>
    </w:p>
    <w:p w14:paraId="6914E7BB" w14:textId="77777777" w:rsidR="001E053B" w:rsidRDefault="001E053B" w:rsidP="001E053B">
      <w:pPr>
        <w:spacing w:after="0"/>
        <w:jc w:val="right"/>
        <w:rPr>
          <w:b/>
          <w:bCs/>
          <w:lang w:val="en-US"/>
        </w:rPr>
      </w:pPr>
      <w:r>
        <w:rPr>
          <w:lang w:val="en-US"/>
        </w:rPr>
        <w:t>W: www.pensions-pmi.org.uk</w:t>
      </w:r>
    </w:p>
    <w:p w14:paraId="135824C7" w14:textId="77777777" w:rsidR="001E053B" w:rsidRDefault="001E053B" w:rsidP="001D5984">
      <w:pPr>
        <w:spacing w:after="0"/>
        <w:jc w:val="center"/>
      </w:pPr>
    </w:p>
    <w:p w14:paraId="6B254994" w14:textId="77777777" w:rsidR="001E053B" w:rsidRDefault="001E053B" w:rsidP="001D5984">
      <w:pPr>
        <w:spacing w:after="0"/>
        <w:jc w:val="center"/>
      </w:pPr>
    </w:p>
    <w:p w14:paraId="478A3A48" w14:textId="30F02CC8" w:rsidR="001D5984" w:rsidRDefault="001D5984" w:rsidP="001D5984">
      <w:pPr>
        <w:spacing w:after="0"/>
        <w:jc w:val="center"/>
      </w:pPr>
      <w:r>
        <w:t xml:space="preserve">Core Unit 1A – </w:t>
      </w:r>
      <w:r w:rsidR="009B1257">
        <w:t>Understanding Retirement Provision</w:t>
      </w:r>
    </w:p>
    <w:p w14:paraId="72189788" w14:textId="147ABD70" w:rsidR="001D5984" w:rsidRDefault="001D5984" w:rsidP="001D5984">
      <w:pPr>
        <w:spacing w:after="0"/>
        <w:jc w:val="center"/>
      </w:pPr>
      <w:r>
        <w:t>Assignment 2 Notes</w:t>
      </w:r>
    </w:p>
    <w:p w14:paraId="4F548B5A" w14:textId="43C23606" w:rsidR="001D5984" w:rsidRDefault="001D5984" w:rsidP="001D5984">
      <w:pPr>
        <w:spacing w:after="0"/>
        <w:jc w:val="center"/>
      </w:pPr>
      <w:r>
        <w:t>(Part 2 – Parties Involved)</w:t>
      </w:r>
    </w:p>
    <w:p w14:paraId="3C64689B" w14:textId="77777777" w:rsidR="001D5984" w:rsidRDefault="001D5984" w:rsidP="001D5984">
      <w:pPr>
        <w:spacing w:after="0"/>
        <w:jc w:val="center"/>
      </w:pPr>
    </w:p>
    <w:p w14:paraId="5039A5E2" w14:textId="4636B902" w:rsidR="001D5984" w:rsidRDefault="001D5984" w:rsidP="001D5984">
      <w:pPr>
        <w:spacing w:after="0"/>
        <w:jc w:val="center"/>
        <w:rPr>
          <w:b/>
          <w:bCs/>
        </w:rPr>
      </w:pPr>
      <w:r>
        <w:t>Recommended Time: 1 Hour</w:t>
      </w:r>
    </w:p>
    <w:p w14:paraId="10A65FE4" w14:textId="77777777" w:rsidR="001D5984" w:rsidRDefault="001D5984" w:rsidP="004D172D">
      <w:pPr>
        <w:rPr>
          <w:b/>
          <w:bCs/>
        </w:rPr>
      </w:pPr>
    </w:p>
    <w:p w14:paraId="2B77F585" w14:textId="37AD6E1A" w:rsidR="004D172D" w:rsidRPr="001D5984" w:rsidRDefault="001D4FA7" w:rsidP="001D5984">
      <w:pPr>
        <w:pStyle w:val="ListParagraph"/>
        <w:numPr>
          <w:ilvl w:val="0"/>
          <w:numId w:val="8"/>
        </w:numPr>
        <w:rPr>
          <w:b/>
          <w:bCs/>
        </w:rPr>
      </w:pPr>
      <w:r>
        <w:rPr>
          <w:b/>
          <w:bCs/>
        </w:rPr>
        <w:t>Write short notes which e</w:t>
      </w:r>
      <w:r w:rsidR="00A67B40">
        <w:rPr>
          <w:b/>
          <w:bCs/>
        </w:rPr>
        <w:t>xplain</w:t>
      </w:r>
      <w:r>
        <w:rPr>
          <w:b/>
          <w:bCs/>
        </w:rPr>
        <w:t>s</w:t>
      </w:r>
      <w:r w:rsidR="00A67B40">
        <w:rPr>
          <w:b/>
          <w:bCs/>
        </w:rPr>
        <w:t xml:space="preserve"> what the </w:t>
      </w:r>
      <w:r w:rsidR="007C224A">
        <w:rPr>
          <w:b/>
          <w:bCs/>
        </w:rPr>
        <w:t>Regulator</w:t>
      </w:r>
      <w:r w:rsidR="00140CEF">
        <w:rPr>
          <w:b/>
          <w:bCs/>
        </w:rPr>
        <w:t>’s</w:t>
      </w:r>
      <w:r w:rsidR="007C224A">
        <w:rPr>
          <w:b/>
          <w:bCs/>
        </w:rPr>
        <w:t xml:space="preserve"> powers</w:t>
      </w:r>
      <w:r w:rsidR="00A67B40">
        <w:rPr>
          <w:b/>
          <w:bCs/>
        </w:rPr>
        <w:t xml:space="preserve"> are</w:t>
      </w:r>
      <w:r w:rsidR="00A52E2B">
        <w:rPr>
          <w:b/>
          <w:bCs/>
        </w:rPr>
        <w:t>.</w:t>
      </w:r>
    </w:p>
    <w:p w14:paraId="11D8A725" w14:textId="1778BBA4" w:rsidR="004D172D" w:rsidRPr="004D172D" w:rsidRDefault="004D172D" w:rsidP="004D172D">
      <w:pPr>
        <w:jc w:val="right"/>
        <w:rPr>
          <w:b/>
          <w:bCs/>
        </w:rPr>
      </w:pPr>
      <w:r>
        <w:rPr>
          <w:b/>
          <w:bCs/>
        </w:rPr>
        <w:t>10</w:t>
      </w:r>
      <w:r w:rsidRPr="004D172D">
        <w:rPr>
          <w:b/>
          <w:bCs/>
        </w:rPr>
        <w:t xml:space="preserve"> Marks</w:t>
      </w:r>
    </w:p>
    <w:p w14:paraId="6DC1F291" w14:textId="77777777" w:rsidR="00A52E2B" w:rsidRDefault="00A52E2B" w:rsidP="00A52E2B">
      <w:pPr>
        <w:ind w:firstLine="360"/>
      </w:pPr>
      <w:r>
        <w:t>Answer should cover the following:</w:t>
      </w:r>
    </w:p>
    <w:p w14:paraId="0576D990" w14:textId="77777777" w:rsidR="00643D99" w:rsidRDefault="00643D99" w:rsidP="004D172D">
      <w:pPr>
        <w:pStyle w:val="ListParagraph"/>
        <w:numPr>
          <w:ilvl w:val="0"/>
          <w:numId w:val="1"/>
        </w:numPr>
      </w:pPr>
      <w:r>
        <w:t>Existing powers are defined in statute</w:t>
      </w:r>
    </w:p>
    <w:p w14:paraId="75BA5F64" w14:textId="3AECB023" w:rsidR="00643D99" w:rsidRDefault="00643D99" w:rsidP="004D172D">
      <w:pPr>
        <w:pStyle w:val="ListParagraph"/>
        <w:numPr>
          <w:ilvl w:val="0"/>
          <w:numId w:val="1"/>
        </w:numPr>
      </w:pPr>
      <w:r>
        <w:t>Fall into 3 broad categories</w:t>
      </w:r>
    </w:p>
    <w:p w14:paraId="597F4FF7" w14:textId="5E68ED4F" w:rsidR="00170F32" w:rsidRDefault="00643D99" w:rsidP="004D172D">
      <w:pPr>
        <w:pStyle w:val="ListParagraph"/>
        <w:numPr>
          <w:ilvl w:val="0"/>
          <w:numId w:val="1"/>
        </w:numPr>
      </w:pPr>
      <w:r>
        <w:t xml:space="preserve">Investigating schemes </w:t>
      </w:r>
      <w:r w:rsidR="00BE79CC">
        <w:t>–</w:t>
      </w:r>
      <w:r>
        <w:t xml:space="preserve"> </w:t>
      </w:r>
      <w:r w:rsidR="00170F32">
        <w:t>gather</w:t>
      </w:r>
      <w:r w:rsidR="00D657FF">
        <w:t>s information to help identify and monitor risks.</w:t>
      </w:r>
    </w:p>
    <w:p w14:paraId="252DF586" w14:textId="0A29A710" w:rsidR="00643D99" w:rsidRDefault="00D657FF" w:rsidP="00170F32">
      <w:pPr>
        <w:pStyle w:val="ListParagraph"/>
      </w:pPr>
      <w:r>
        <w:t>C</w:t>
      </w:r>
      <w:r w:rsidR="00BE79CC">
        <w:t>ollects data through an annual scheme return</w:t>
      </w:r>
      <w:r w:rsidR="0064182A">
        <w:t xml:space="preserve">. Receives reports of significant breaches of the law from </w:t>
      </w:r>
      <w:r w:rsidR="004C6B61">
        <w:t>whistle-blowers</w:t>
      </w:r>
      <w:r w:rsidR="0064182A">
        <w:t xml:space="preserve"> and reports of notifiable events from trustees and employers</w:t>
      </w:r>
      <w:r w:rsidR="0021045E">
        <w:t>.</w:t>
      </w:r>
    </w:p>
    <w:p w14:paraId="1A619726" w14:textId="2A288FF5" w:rsidR="0021045E" w:rsidRDefault="00F70C5D" w:rsidP="006910B1">
      <w:pPr>
        <w:pStyle w:val="ListParagraph"/>
      </w:pPr>
      <w:r>
        <w:t>Trustees or scheme managers are responsible for notifying promptly of changes to registrable information</w:t>
      </w:r>
      <w:r w:rsidR="005F0447">
        <w:t xml:space="preserve"> </w:t>
      </w:r>
      <w:r w:rsidR="006910B1">
        <w:t>and</w:t>
      </w:r>
      <w:r w:rsidR="005F0447">
        <w:t xml:space="preserve"> expects to receive reports where unable to comply with the scheme funding framework.</w:t>
      </w:r>
    </w:p>
    <w:p w14:paraId="3543A065" w14:textId="6E590521" w:rsidR="00506DC8" w:rsidRDefault="00506DC8" w:rsidP="006910B1">
      <w:pPr>
        <w:pStyle w:val="ListParagraph"/>
      </w:pPr>
      <w:r>
        <w:t>Demand relevant documents from trustees and employers</w:t>
      </w:r>
      <w:r w:rsidR="00402654">
        <w:t>. Require individuals to attend interviews and inspect premises.</w:t>
      </w:r>
    </w:p>
    <w:p w14:paraId="6826C536" w14:textId="4E9BA3F0" w:rsidR="00402654" w:rsidRDefault="006910B1" w:rsidP="004D172D">
      <w:pPr>
        <w:pStyle w:val="ListParagraph"/>
        <w:numPr>
          <w:ilvl w:val="0"/>
          <w:numId w:val="1"/>
        </w:numPr>
      </w:pPr>
      <w:r>
        <w:t xml:space="preserve">Putting things right </w:t>
      </w:r>
      <w:r w:rsidR="00AE0AA6">
        <w:t>–</w:t>
      </w:r>
      <w:r>
        <w:t xml:space="preserve"> </w:t>
      </w:r>
      <w:r w:rsidR="00AE0AA6">
        <w:t>take action to protect security of member’s benefits</w:t>
      </w:r>
    </w:p>
    <w:p w14:paraId="43ED1A9C" w14:textId="32D34634" w:rsidR="00AE0AA6" w:rsidRDefault="00C50B46" w:rsidP="00AE0AA6">
      <w:pPr>
        <w:pStyle w:val="ListParagraph"/>
      </w:pPr>
      <w:r>
        <w:t>Improvement notices</w:t>
      </w:r>
    </w:p>
    <w:p w14:paraId="6E38FF8C" w14:textId="31A481BE" w:rsidR="00C50B46" w:rsidRDefault="00C50B46" w:rsidP="00AE0AA6">
      <w:pPr>
        <w:pStyle w:val="ListParagraph"/>
      </w:pPr>
      <w:r>
        <w:t>Recover unpaid contributions from employer</w:t>
      </w:r>
    </w:p>
    <w:p w14:paraId="0F121DBC" w14:textId="30D8306F" w:rsidR="00C50B46" w:rsidRDefault="00C50B46" w:rsidP="00AE0AA6">
      <w:pPr>
        <w:pStyle w:val="ListParagraph"/>
      </w:pPr>
      <w:r>
        <w:t>Freezing order</w:t>
      </w:r>
      <w:r w:rsidR="00A16109">
        <w:t xml:space="preserve"> to temporarily halt all activity where wind-up is pending</w:t>
      </w:r>
    </w:p>
    <w:p w14:paraId="70C6CE57" w14:textId="4FA0437F" w:rsidR="00A16109" w:rsidRDefault="00A16109" w:rsidP="00AE0AA6">
      <w:pPr>
        <w:pStyle w:val="ListParagraph"/>
      </w:pPr>
      <w:r>
        <w:t>Impose a schedule of contributions</w:t>
      </w:r>
    </w:p>
    <w:p w14:paraId="524A4B1C" w14:textId="37F0812E" w:rsidR="00A16109" w:rsidRDefault="00557C24" w:rsidP="00AE0AA6">
      <w:pPr>
        <w:pStyle w:val="ListParagraph"/>
      </w:pPr>
      <w:r>
        <w:t>Prohibit a trustee from the role of trustee</w:t>
      </w:r>
    </w:p>
    <w:p w14:paraId="2098A3A5" w14:textId="41756BDD" w:rsidR="00557C24" w:rsidRDefault="00557C24" w:rsidP="00AE0AA6">
      <w:pPr>
        <w:pStyle w:val="ListParagraph"/>
      </w:pPr>
      <w:r>
        <w:t>Prosecution of certain offences.</w:t>
      </w:r>
    </w:p>
    <w:p w14:paraId="50B7C585" w14:textId="4C5FCA60" w:rsidR="00557C24" w:rsidRDefault="00557C24" w:rsidP="00557C24">
      <w:pPr>
        <w:pStyle w:val="ListParagraph"/>
        <w:numPr>
          <w:ilvl w:val="0"/>
          <w:numId w:val="1"/>
        </w:numPr>
      </w:pPr>
      <w:r>
        <w:t xml:space="preserve">Acting against avoidance </w:t>
      </w:r>
      <w:r w:rsidR="0027388A">
        <w:t>–</w:t>
      </w:r>
      <w:r>
        <w:t xml:space="preserve"> </w:t>
      </w:r>
      <w:r w:rsidR="0027388A">
        <w:t>issue the following:</w:t>
      </w:r>
    </w:p>
    <w:p w14:paraId="11E3B5A5" w14:textId="294062D5" w:rsidR="0027388A" w:rsidRDefault="0027388A" w:rsidP="0027388A">
      <w:pPr>
        <w:pStyle w:val="ListParagraph"/>
      </w:pPr>
      <w:r>
        <w:t>Contribution notices – deliberate attempt to avoid</w:t>
      </w:r>
      <w:r w:rsidR="00C240B3">
        <w:t xml:space="preserve"> a statutory debt</w:t>
      </w:r>
    </w:p>
    <w:p w14:paraId="261C5F72" w14:textId="192A4E8A" w:rsidR="00C240B3" w:rsidRDefault="00C240B3" w:rsidP="0027388A">
      <w:pPr>
        <w:pStyle w:val="ListParagraph"/>
      </w:pPr>
      <w:r>
        <w:t>Financial support directions</w:t>
      </w:r>
    </w:p>
    <w:p w14:paraId="0713BA03" w14:textId="61EE899A" w:rsidR="00C240B3" w:rsidRDefault="00C240B3" w:rsidP="0027388A">
      <w:pPr>
        <w:pStyle w:val="ListParagraph"/>
      </w:pPr>
      <w:r>
        <w:t>Restoration orders</w:t>
      </w:r>
      <w:r w:rsidR="00B53549">
        <w:t xml:space="preserve"> – assets restored to scheme if sold undervalued.</w:t>
      </w:r>
    </w:p>
    <w:p w14:paraId="1721B6FC" w14:textId="3221DF22" w:rsidR="00B53549" w:rsidRDefault="00B53549" w:rsidP="00B53549">
      <w:pPr>
        <w:pStyle w:val="ListParagraph"/>
        <w:numPr>
          <w:ilvl w:val="0"/>
          <w:numId w:val="1"/>
        </w:numPr>
      </w:pPr>
      <w:r>
        <w:t>Clearance procedure for anyone who wishes to confirm that they will not be subject to either a contribution notice or a financial support direction</w:t>
      </w:r>
      <w:r w:rsidR="004C6B61">
        <w:t>.</w:t>
      </w:r>
    </w:p>
    <w:p w14:paraId="6122FEE3" w14:textId="05240288" w:rsidR="004D172D" w:rsidRDefault="004D172D" w:rsidP="004D172D">
      <w:r>
        <w:t>(Relevant section of the manual is Part 2 Chapter 1</w:t>
      </w:r>
      <w:r w:rsidR="00BE79CC">
        <w:t>.1.1</w:t>
      </w:r>
      <w:r>
        <w:t>)</w:t>
      </w:r>
    </w:p>
    <w:p w14:paraId="53341C3C" w14:textId="0859F2F8" w:rsidR="004D172D" w:rsidRDefault="004D172D" w:rsidP="004D172D"/>
    <w:p w14:paraId="7DCACEE9" w14:textId="6870B109" w:rsidR="001E053B" w:rsidRDefault="001E053B" w:rsidP="004D172D"/>
    <w:p w14:paraId="464491CB" w14:textId="77777777" w:rsidR="001E053B" w:rsidRDefault="001E053B" w:rsidP="004D172D"/>
    <w:p w14:paraId="6249423A" w14:textId="5D1C73BE" w:rsidR="004D172D" w:rsidRPr="001D5984" w:rsidRDefault="005200AF" w:rsidP="001D5984">
      <w:pPr>
        <w:pStyle w:val="ListParagraph"/>
        <w:numPr>
          <w:ilvl w:val="0"/>
          <w:numId w:val="8"/>
        </w:numPr>
        <w:rPr>
          <w:b/>
          <w:bCs/>
        </w:rPr>
      </w:pPr>
      <w:r>
        <w:rPr>
          <w:b/>
          <w:bCs/>
        </w:rPr>
        <w:t>Outline the role of the Financial Conduct Authority</w:t>
      </w:r>
      <w:r w:rsidR="004D172D" w:rsidRPr="001D5984">
        <w:rPr>
          <w:b/>
          <w:bCs/>
        </w:rPr>
        <w:t>.</w:t>
      </w:r>
    </w:p>
    <w:p w14:paraId="7137BF80" w14:textId="22B37CF8" w:rsidR="004D172D" w:rsidRPr="004D172D" w:rsidRDefault="004D172D" w:rsidP="004D172D">
      <w:pPr>
        <w:jc w:val="right"/>
        <w:rPr>
          <w:b/>
          <w:bCs/>
        </w:rPr>
      </w:pPr>
      <w:r w:rsidRPr="004D172D">
        <w:rPr>
          <w:b/>
          <w:bCs/>
        </w:rPr>
        <w:t>5 Marks</w:t>
      </w:r>
    </w:p>
    <w:p w14:paraId="7BB517C3" w14:textId="3C804014" w:rsidR="004D172D" w:rsidRDefault="004D172D" w:rsidP="001D5984">
      <w:pPr>
        <w:ind w:firstLine="360"/>
      </w:pPr>
      <w:r>
        <w:t>Answer should cover the following:</w:t>
      </w:r>
    </w:p>
    <w:p w14:paraId="22724C8F" w14:textId="77777777" w:rsidR="0093527C" w:rsidRDefault="00C76CF5" w:rsidP="004D172D">
      <w:pPr>
        <w:pStyle w:val="ListParagraph"/>
        <w:numPr>
          <w:ilvl w:val="0"/>
          <w:numId w:val="2"/>
        </w:numPr>
      </w:pPr>
      <w:r>
        <w:t>Responsible for regulating the standards of conduct in financial markets and for supervising the infrastructure that supports those markets.</w:t>
      </w:r>
    </w:p>
    <w:p w14:paraId="4985E358" w14:textId="77777777" w:rsidR="0093527C" w:rsidRDefault="0093527C" w:rsidP="004D172D">
      <w:pPr>
        <w:pStyle w:val="ListParagraph"/>
        <w:numPr>
          <w:ilvl w:val="0"/>
          <w:numId w:val="2"/>
        </w:numPr>
      </w:pPr>
      <w:r>
        <w:t>To secure an appropriate degree of protection for consumers</w:t>
      </w:r>
    </w:p>
    <w:p w14:paraId="3BCE63A3" w14:textId="77777777" w:rsidR="0093527C" w:rsidRDefault="0093527C" w:rsidP="004D172D">
      <w:pPr>
        <w:pStyle w:val="ListParagraph"/>
        <w:numPr>
          <w:ilvl w:val="0"/>
          <w:numId w:val="2"/>
        </w:numPr>
      </w:pPr>
      <w:r>
        <w:t>To protect and enhance the integrity of the UK financial system</w:t>
      </w:r>
    </w:p>
    <w:p w14:paraId="34845748" w14:textId="77777777" w:rsidR="0093527C" w:rsidRDefault="0093527C" w:rsidP="0093527C">
      <w:pPr>
        <w:pStyle w:val="ListParagraph"/>
        <w:numPr>
          <w:ilvl w:val="0"/>
          <w:numId w:val="2"/>
        </w:numPr>
      </w:pPr>
      <w:r>
        <w:t>To promote effective competition in the interests of consumers.</w:t>
      </w:r>
    </w:p>
    <w:p w14:paraId="4880DDF4" w14:textId="77777777" w:rsidR="0093527C" w:rsidRDefault="0093527C" w:rsidP="0093527C">
      <w:pPr>
        <w:pStyle w:val="ListParagraph"/>
      </w:pPr>
    </w:p>
    <w:p w14:paraId="076DA45C" w14:textId="212CEB80" w:rsidR="004D172D" w:rsidRDefault="004D172D" w:rsidP="0093527C">
      <w:pPr>
        <w:pStyle w:val="ListParagraph"/>
      </w:pPr>
      <w:r>
        <w:t>(Relevant section of the manual is Part 2 Chapter 1</w:t>
      </w:r>
      <w:r w:rsidR="00165157">
        <w:t>.</w:t>
      </w:r>
      <w:r w:rsidR="0003446B">
        <w:t>2</w:t>
      </w:r>
      <w:r>
        <w:t>)</w:t>
      </w:r>
    </w:p>
    <w:p w14:paraId="50C34DCB" w14:textId="77777777" w:rsidR="00DA4155" w:rsidRDefault="00DA4155" w:rsidP="004D172D">
      <w:pPr>
        <w:rPr>
          <w:b/>
          <w:bCs/>
        </w:rPr>
      </w:pPr>
    </w:p>
    <w:p w14:paraId="7BB41F9B" w14:textId="188FC78C" w:rsidR="00165157" w:rsidRPr="001D5984" w:rsidRDefault="00310995" w:rsidP="001D5984">
      <w:pPr>
        <w:pStyle w:val="ListParagraph"/>
        <w:numPr>
          <w:ilvl w:val="0"/>
          <w:numId w:val="8"/>
        </w:numPr>
        <w:rPr>
          <w:b/>
          <w:bCs/>
        </w:rPr>
      </w:pPr>
      <w:r>
        <w:rPr>
          <w:b/>
          <w:bCs/>
        </w:rPr>
        <w:t xml:space="preserve">Explain the importance of Pension Wise. </w:t>
      </w:r>
    </w:p>
    <w:p w14:paraId="4F91D18B" w14:textId="6A3E474F" w:rsidR="00165157" w:rsidRDefault="00165157" w:rsidP="00165157">
      <w:pPr>
        <w:jc w:val="right"/>
        <w:rPr>
          <w:b/>
          <w:bCs/>
        </w:rPr>
      </w:pPr>
      <w:r>
        <w:rPr>
          <w:b/>
          <w:bCs/>
        </w:rPr>
        <w:t>5 Marks</w:t>
      </w:r>
    </w:p>
    <w:p w14:paraId="382CF8C2" w14:textId="77777777" w:rsidR="00165157" w:rsidRDefault="00165157" w:rsidP="001D5984">
      <w:pPr>
        <w:ind w:firstLine="360"/>
      </w:pPr>
      <w:r>
        <w:t>Answer should cover the following:</w:t>
      </w:r>
    </w:p>
    <w:p w14:paraId="1415A40A" w14:textId="77777777" w:rsidR="00D6797C" w:rsidRDefault="00310995" w:rsidP="00165157">
      <w:pPr>
        <w:pStyle w:val="ListParagraph"/>
        <w:numPr>
          <w:ilvl w:val="0"/>
          <w:numId w:val="3"/>
        </w:numPr>
      </w:pPr>
      <w:r>
        <w:t xml:space="preserve">Launched by the government in April 2015 as a free and impartial guidance service </w:t>
      </w:r>
      <w:r w:rsidR="00D6797C">
        <w:t>to help those over 50 with DC pensions</w:t>
      </w:r>
    </w:p>
    <w:p w14:paraId="69A3D781" w14:textId="77777777" w:rsidR="0087184B" w:rsidRDefault="00D6797C" w:rsidP="00165157">
      <w:pPr>
        <w:pStyle w:val="ListParagraph"/>
        <w:numPr>
          <w:ilvl w:val="0"/>
          <w:numId w:val="3"/>
        </w:numPr>
      </w:pPr>
      <w:r>
        <w:t>Now delivered through MoneyHelper, providing telephone guide and face-to-face appointments</w:t>
      </w:r>
      <w:r w:rsidR="0087184B">
        <w:t xml:space="preserve"> as well as online information</w:t>
      </w:r>
    </w:p>
    <w:p w14:paraId="5D8CEFB5" w14:textId="77777777" w:rsidR="009B20F2" w:rsidRDefault="0087184B" w:rsidP="00165157">
      <w:pPr>
        <w:pStyle w:val="ListParagraph"/>
        <w:numPr>
          <w:ilvl w:val="0"/>
          <w:numId w:val="3"/>
        </w:numPr>
      </w:pPr>
      <w:r>
        <w:t xml:space="preserve">New rules from 1 June 2022 – member </w:t>
      </w:r>
      <w:r w:rsidR="006418B4">
        <w:t>has flexible benefits and applies to transfer or start receiving benefits, trustees must refer them to Pension Wise</w:t>
      </w:r>
    </w:p>
    <w:p w14:paraId="61CC879B" w14:textId="77777777" w:rsidR="00B5328F" w:rsidRDefault="009B20F2" w:rsidP="00165157">
      <w:pPr>
        <w:pStyle w:val="ListParagraph"/>
        <w:numPr>
          <w:ilvl w:val="0"/>
          <w:numId w:val="3"/>
        </w:numPr>
      </w:pPr>
      <w:r>
        <w:t>New measures are referred to as a stronger nudge</w:t>
      </w:r>
    </w:p>
    <w:p w14:paraId="1EFF3548" w14:textId="77777777" w:rsidR="00B5328F" w:rsidRDefault="00B5328F" w:rsidP="00B5328F">
      <w:pPr>
        <w:pStyle w:val="ListParagraph"/>
        <w:numPr>
          <w:ilvl w:val="0"/>
          <w:numId w:val="3"/>
        </w:numPr>
      </w:pPr>
      <w:r>
        <w:t xml:space="preserve">Also apply to FCA-regulated pension providers. </w:t>
      </w:r>
    </w:p>
    <w:p w14:paraId="57BE95EF" w14:textId="4EE26EC9" w:rsidR="00165157" w:rsidRDefault="00165157" w:rsidP="00B5328F">
      <w:pPr>
        <w:ind w:left="360"/>
      </w:pPr>
      <w:r>
        <w:t>(Relevant section of the manual is Part 2 Chapter 1.</w:t>
      </w:r>
      <w:r w:rsidR="004D0F6C">
        <w:t>4.2</w:t>
      </w:r>
      <w:r>
        <w:t>)</w:t>
      </w:r>
    </w:p>
    <w:p w14:paraId="5FC1070F" w14:textId="77777777" w:rsidR="00A1198A" w:rsidRDefault="00A1198A" w:rsidP="00B5328F">
      <w:pPr>
        <w:ind w:left="360"/>
      </w:pPr>
    </w:p>
    <w:p w14:paraId="7A4F86E2" w14:textId="13658467" w:rsidR="00A1198A" w:rsidRPr="001D08D6" w:rsidRDefault="00A1198A" w:rsidP="00A1198A">
      <w:pPr>
        <w:pStyle w:val="ListParagraph"/>
        <w:numPr>
          <w:ilvl w:val="0"/>
          <w:numId w:val="8"/>
        </w:numPr>
        <w:rPr>
          <w:b/>
          <w:bCs/>
        </w:rPr>
      </w:pPr>
      <w:r w:rsidRPr="001D08D6">
        <w:rPr>
          <w:b/>
          <w:bCs/>
        </w:rPr>
        <w:t xml:space="preserve">Outline the eligibility criteria for the Financial Assistance Scheme and the </w:t>
      </w:r>
      <w:r w:rsidR="0064485E">
        <w:rPr>
          <w:b/>
          <w:bCs/>
        </w:rPr>
        <w:t>c</w:t>
      </w:r>
      <w:r w:rsidRPr="001D08D6">
        <w:rPr>
          <w:b/>
          <w:bCs/>
        </w:rPr>
        <w:t xml:space="preserve">ompensation it may award. </w:t>
      </w:r>
    </w:p>
    <w:p w14:paraId="57F68988" w14:textId="77777777" w:rsidR="00A1198A" w:rsidRPr="001D08D6" w:rsidRDefault="00A1198A" w:rsidP="00A1198A">
      <w:pPr>
        <w:jc w:val="right"/>
        <w:rPr>
          <w:b/>
          <w:bCs/>
        </w:rPr>
      </w:pPr>
      <w:r w:rsidRPr="001D08D6">
        <w:rPr>
          <w:b/>
          <w:bCs/>
        </w:rPr>
        <w:t>10 Marks</w:t>
      </w:r>
    </w:p>
    <w:p w14:paraId="280702F2" w14:textId="77777777" w:rsidR="00A1198A" w:rsidRPr="001D08D6" w:rsidRDefault="00A1198A" w:rsidP="00A1198A">
      <w:pPr>
        <w:ind w:firstLine="360"/>
      </w:pPr>
      <w:r w:rsidRPr="001D08D6">
        <w:t>Answer should cover the following:</w:t>
      </w:r>
    </w:p>
    <w:p w14:paraId="3008BDE7" w14:textId="58EBBC1B" w:rsidR="00A1198A" w:rsidRPr="001D08D6" w:rsidRDefault="00A1198A" w:rsidP="00A1198A">
      <w:pPr>
        <w:pStyle w:val="ListParagraph"/>
        <w:numPr>
          <w:ilvl w:val="0"/>
          <w:numId w:val="6"/>
        </w:numPr>
      </w:pPr>
      <w:r w:rsidRPr="001D08D6">
        <w:t>The scheme</w:t>
      </w:r>
      <w:r w:rsidR="002337FC">
        <w:t>,</w:t>
      </w:r>
      <w:r w:rsidRPr="001D08D6">
        <w:t xml:space="preserve"> must in most cases</w:t>
      </w:r>
      <w:r w:rsidR="002337FC">
        <w:t>,</w:t>
      </w:r>
      <w:r w:rsidRPr="001D08D6">
        <w:t xml:space="preserve"> have started to wind up between 1 January 1997 and 5 April 2005.</w:t>
      </w:r>
    </w:p>
    <w:p w14:paraId="5A6A2567" w14:textId="77777777" w:rsidR="00A1198A" w:rsidRPr="001D08D6" w:rsidRDefault="00A1198A" w:rsidP="00A1198A">
      <w:pPr>
        <w:pStyle w:val="ListParagraph"/>
        <w:numPr>
          <w:ilvl w:val="0"/>
          <w:numId w:val="6"/>
        </w:numPr>
      </w:pPr>
      <w:r w:rsidRPr="001D08D6">
        <w:t>Some special circumstances in which schemes could qualify if winding up commenced before 27 March 2014.</w:t>
      </w:r>
    </w:p>
    <w:p w14:paraId="3529BC22" w14:textId="77777777" w:rsidR="00A1198A" w:rsidRPr="001D08D6" w:rsidRDefault="00A1198A" w:rsidP="00A1198A">
      <w:pPr>
        <w:pStyle w:val="ListParagraph"/>
        <w:numPr>
          <w:ilvl w:val="0"/>
          <w:numId w:val="6"/>
        </w:numPr>
      </w:pPr>
      <w:r w:rsidRPr="001D08D6">
        <w:t>Originally the employer must be insolvent or no longer exist or a compromise agreement had been reached.</w:t>
      </w:r>
    </w:p>
    <w:p w14:paraId="1D23246B" w14:textId="77777777" w:rsidR="00A1198A" w:rsidRPr="001D08D6" w:rsidRDefault="00A1198A" w:rsidP="00A1198A">
      <w:pPr>
        <w:pStyle w:val="ListParagraph"/>
        <w:numPr>
          <w:ilvl w:val="0"/>
          <w:numId w:val="6"/>
        </w:numPr>
      </w:pPr>
      <w:r w:rsidRPr="001D08D6">
        <w:t>Eligibility widened to include underfunded schemes where there was no employer debt at the time wind up commenced.</w:t>
      </w:r>
    </w:p>
    <w:p w14:paraId="6838DBF5" w14:textId="097B8A88" w:rsidR="00A1198A" w:rsidRPr="001D08D6" w:rsidRDefault="00A1198A" w:rsidP="00A1198A">
      <w:pPr>
        <w:pStyle w:val="ListParagraph"/>
        <w:numPr>
          <w:ilvl w:val="0"/>
          <w:numId w:val="6"/>
        </w:numPr>
      </w:pPr>
      <w:r w:rsidRPr="001D08D6">
        <w:t xml:space="preserve">Members are eligible as are surviving </w:t>
      </w:r>
      <w:r w:rsidR="002337FC" w:rsidRPr="001D08D6">
        <w:t>spouses</w:t>
      </w:r>
      <w:r w:rsidRPr="001D08D6">
        <w:t xml:space="preserve"> or civil partners who died after the scheme started to wind up.</w:t>
      </w:r>
    </w:p>
    <w:p w14:paraId="685B43F5" w14:textId="77777777" w:rsidR="00A1198A" w:rsidRPr="001D08D6" w:rsidRDefault="00A1198A" w:rsidP="00A1198A">
      <w:pPr>
        <w:pStyle w:val="ListParagraph"/>
        <w:numPr>
          <w:ilvl w:val="0"/>
          <w:numId w:val="6"/>
        </w:numPr>
      </w:pPr>
      <w:r w:rsidRPr="001D08D6">
        <w:lastRenderedPageBreak/>
        <w:t xml:space="preserve">Compensation </w:t>
      </w:r>
      <w:proofErr w:type="gramStart"/>
      <w:r w:rsidRPr="001D08D6">
        <w:t>similar to</w:t>
      </w:r>
      <w:proofErr w:type="gramEnd"/>
      <w:r w:rsidRPr="001D08D6">
        <w:t xml:space="preserve"> PPF – member’s pensions will receive 90% subject to a cap.</w:t>
      </w:r>
    </w:p>
    <w:p w14:paraId="104AF4CF" w14:textId="77777777" w:rsidR="00A1198A" w:rsidRPr="001D08D6" w:rsidRDefault="00A1198A" w:rsidP="00A1198A">
      <w:pPr>
        <w:pStyle w:val="ListParagraph"/>
        <w:numPr>
          <w:ilvl w:val="0"/>
          <w:numId w:val="6"/>
        </w:numPr>
      </w:pPr>
      <w:r w:rsidRPr="001D08D6">
        <w:t>Payable from NRA although can apply for early retirement on ill-health grounds but only up to 5 years before NRA.</w:t>
      </w:r>
    </w:p>
    <w:p w14:paraId="269E64C5" w14:textId="77777777" w:rsidR="00A1198A" w:rsidRPr="001D08D6" w:rsidRDefault="00A1198A" w:rsidP="00A1198A">
      <w:pPr>
        <w:pStyle w:val="ListParagraph"/>
        <w:numPr>
          <w:ilvl w:val="0"/>
          <w:numId w:val="6"/>
        </w:numPr>
      </w:pPr>
      <w:r w:rsidRPr="001D08D6">
        <w:t>Compensation reduced for early payment.</w:t>
      </w:r>
    </w:p>
    <w:p w14:paraId="258C9C8E" w14:textId="77777777" w:rsidR="00A1198A" w:rsidRPr="001D08D6" w:rsidRDefault="00A1198A" w:rsidP="00A1198A">
      <w:pPr>
        <w:pStyle w:val="ListParagraph"/>
        <w:numPr>
          <w:ilvl w:val="0"/>
          <w:numId w:val="6"/>
        </w:numPr>
      </w:pPr>
      <w:r w:rsidRPr="001D08D6">
        <w:t xml:space="preserve">Any pension accrued after 6 April 1997 will be increased each year by CPI capped at 2.5 per annum. </w:t>
      </w:r>
    </w:p>
    <w:p w14:paraId="1E5EB5E6" w14:textId="77777777" w:rsidR="00A1198A" w:rsidRPr="001D08D6" w:rsidRDefault="00A1198A" w:rsidP="00A1198A">
      <w:pPr>
        <w:pStyle w:val="ListParagraph"/>
      </w:pPr>
    </w:p>
    <w:p w14:paraId="327508E1" w14:textId="55ACD447" w:rsidR="00A1198A" w:rsidRDefault="00A1198A" w:rsidP="00A1198A">
      <w:pPr>
        <w:pStyle w:val="ListParagraph"/>
      </w:pPr>
      <w:r w:rsidRPr="001D08D6">
        <w:t>(Relevant section of the manual is Part 2 Chapter 1.8.2)</w:t>
      </w:r>
    </w:p>
    <w:p w14:paraId="280C6609" w14:textId="0B38B5D3" w:rsidR="00C86A94" w:rsidRDefault="00C86A94" w:rsidP="00DA4155"/>
    <w:p w14:paraId="19A41E4C" w14:textId="77777777" w:rsidR="00A1198A" w:rsidRDefault="00A1198A" w:rsidP="00DA4155"/>
    <w:p w14:paraId="313C03E7" w14:textId="58B5F634" w:rsidR="00DA4155" w:rsidRPr="001D5984" w:rsidRDefault="00296676" w:rsidP="001D5984">
      <w:pPr>
        <w:pStyle w:val="ListParagraph"/>
        <w:numPr>
          <w:ilvl w:val="0"/>
          <w:numId w:val="8"/>
        </w:numPr>
        <w:rPr>
          <w:b/>
          <w:bCs/>
        </w:rPr>
      </w:pPr>
      <w:r>
        <w:rPr>
          <w:b/>
          <w:bCs/>
        </w:rPr>
        <w:t xml:space="preserve">Trustees of occupational pension schemes will appoint </w:t>
      </w:r>
      <w:proofErr w:type="gramStart"/>
      <w:r>
        <w:rPr>
          <w:b/>
          <w:bCs/>
        </w:rPr>
        <w:t>a number of</w:t>
      </w:r>
      <w:proofErr w:type="gramEnd"/>
      <w:r>
        <w:rPr>
          <w:b/>
          <w:bCs/>
        </w:rPr>
        <w:t xml:space="preserve"> different advisers</w:t>
      </w:r>
      <w:r w:rsidR="00DA77D6">
        <w:rPr>
          <w:b/>
          <w:bCs/>
        </w:rPr>
        <w:t xml:space="preserve"> to assist them in the running of their scheme. Outline the roles required of a </w:t>
      </w:r>
      <w:r w:rsidR="00170B2B">
        <w:rPr>
          <w:b/>
          <w:bCs/>
        </w:rPr>
        <w:t>L</w:t>
      </w:r>
      <w:r w:rsidR="00DA77D6">
        <w:rPr>
          <w:b/>
          <w:bCs/>
        </w:rPr>
        <w:t xml:space="preserve">egal </w:t>
      </w:r>
      <w:r w:rsidR="00170B2B">
        <w:rPr>
          <w:b/>
          <w:bCs/>
        </w:rPr>
        <w:t>A</w:t>
      </w:r>
      <w:r w:rsidR="00DA77D6">
        <w:rPr>
          <w:b/>
          <w:bCs/>
        </w:rPr>
        <w:t xml:space="preserve">dviser, an </w:t>
      </w:r>
      <w:r w:rsidR="00170B2B">
        <w:rPr>
          <w:b/>
          <w:bCs/>
        </w:rPr>
        <w:t>I</w:t>
      </w:r>
      <w:r w:rsidR="00DA77D6">
        <w:rPr>
          <w:b/>
          <w:bCs/>
        </w:rPr>
        <w:t xml:space="preserve">nvestment </w:t>
      </w:r>
      <w:proofErr w:type="gramStart"/>
      <w:r w:rsidR="00170B2B">
        <w:rPr>
          <w:b/>
          <w:bCs/>
        </w:rPr>
        <w:t>Adviser</w:t>
      </w:r>
      <w:proofErr w:type="gramEnd"/>
      <w:r w:rsidR="00DA77D6">
        <w:rPr>
          <w:b/>
          <w:bCs/>
        </w:rPr>
        <w:t xml:space="preserve"> and an Actuary. </w:t>
      </w:r>
    </w:p>
    <w:p w14:paraId="5770BC4D" w14:textId="23714A51" w:rsidR="00C86A94" w:rsidRDefault="00C86A94" w:rsidP="00C86A94">
      <w:pPr>
        <w:jc w:val="right"/>
        <w:rPr>
          <w:b/>
          <w:bCs/>
        </w:rPr>
      </w:pPr>
      <w:r>
        <w:rPr>
          <w:b/>
          <w:bCs/>
        </w:rPr>
        <w:t>1</w:t>
      </w:r>
      <w:r w:rsidR="0026373F">
        <w:rPr>
          <w:b/>
          <w:bCs/>
        </w:rPr>
        <w:t>5</w:t>
      </w:r>
      <w:r>
        <w:rPr>
          <w:b/>
          <w:bCs/>
        </w:rPr>
        <w:t xml:space="preserve"> Marks</w:t>
      </w:r>
    </w:p>
    <w:p w14:paraId="07AB2BC8" w14:textId="38BA2981" w:rsidR="00C86A94" w:rsidRDefault="00C86A94" w:rsidP="001D5984">
      <w:pPr>
        <w:ind w:firstLine="360"/>
      </w:pPr>
      <w:r>
        <w:t xml:space="preserve">Answer </w:t>
      </w:r>
      <w:r w:rsidR="006230E1">
        <w:t>should</w:t>
      </w:r>
      <w:r w:rsidR="00F93727">
        <w:t xml:space="preserve"> include </w:t>
      </w:r>
      <w:r>
        <w:t>the following:</w:t>
      </w:r>
    </w:p>
    <w:p w14:paraId="0A7933BF" w14:textId="72099380" w:rsidR="00F93727" w:rsidRPr="00F95953" w:rsidRDefault="00474648" w:rsidP="00F95953">
      <w:pPr>
        <w:ind w:firstLine="360"/>
        <w:rPr>
          <w:u w:val="single"/>
        </w:rPr>
      </w:pPr>
      <w:r w:rsidRPr="00F95953">
        <w:rPr>
          <w:u w:val="single"/>
        </w:rPr>
        <w:t xml:space="preserve">Legal </w:t>
      </w:r>
      <w:r w:rsidR="00170B2B" w:rsidRPr="00F95953">
        <w:rPr>
          <w:u w:val="single"/>
        </w:rPr>
        <w:t>A</w:t>
      </w:r>
      <w:r w:rsidRPr="00F95953">
        <w:rPr>
          <w:u w:val="single"/>
        </w:rPr>
        <w:t>dviser</w:t>
      </w:r>
    </w:p>
    <w:p w14:paraId="6683191C" w14:textId="503E962D" w:rsidR="001B2E48" w:rsidRDefault="00474648" w:rsidP="00F95953">
      <w:pPr>
        <w:pStyle w:val="ListParagraph"/>
        <w:numPr>
          <w:ilvl w:val="0"/>
          <w:numId w:val="10"/>
        </w:numPr>
      </w:pPr>
      <w:r>
        <w:t>Th</w:t>
      </w:r>
      <w:r w:rsidR="00294CEC">
        <w:t>is</w:t>
      </w:r>
      <w:r>
        <w:t xml:space="preserve"> role includes </w:t>
      </w:r>
      <w:r w:rsidR="00DC6F9A">
        <w:t>advising the trustees on their legal duties and responsibilities</w:t>
      </w:r>
      <w:r w:rsidR="00BD193B">
        <w:t>,</w:t>
      </w:r>
      <w:r w:rsidR="00DC6F9A">
        <w:t xml:space="preserve">  </w:t>
      </w:r>
    </w:p>
    <w:p w14:paraId="5D8E6CF6" w14:textId="0DAEB4FA" w:rsidR="00BD193B" w:rsidRDefault="00BD193B" w:rsidP="00F95953">
      <w:pPr>
        <w:pStyle w:val="ListParagraph"/>
        <w:numPr>
          <w:ilvl w:val="0"/>
          <w:numId w:val="10"/>
        </w:numPr>
      </w:pPr>
      <w:r>
        <w:t>A</w:t>
      </w:r>
      <w:r w:rsidR="00DC6F9A">
        <w:t>dvising the trustees on the legal and regulatory requirements that apply to their scheme</w:t>
      </w:r>
      <w:r>
        <w:t>,</w:t>
      </w:r>
      <w:r w:rsidR="00DC6F9A">
        <w:t xml:space="preserve"> </w:t>
      </w:r>
    </w:p>
    <w:p w14:paraId="3536954B" w14:textId="77777777" w:rsidR="00F95953" w:rsidRDefault="00BD193B" w:rsidP="00F95953">
      <w:pPr>
        <w:pStyle w:val="ListParagraph"/>
        <w:numPr>
          <w:ilvl w:val="0"/>
          <w:numId w:val="10"/>
        </w:numPr>
      </w:pPr>
      <w:r>
        <w:t>A</w:t>
      </w:r>
      <w:r w:rsidR="00DC6F9A">
        <w:t xml:space="preserve">dvising the trustees on the interpretation of the scheme’s governing </w:t>
      </w:r>
      <w:r w:rsidR="00D14024">
        <w:t xml:space="preserve">documentation, </w:t>
      </w:r>
    </w:p>
    <w:p w14:paraId="4FC7E356" w14:textId="58905C6D" w:rsidR="00D14024" w:rsidRDefault="00D14024" w:rsidP="00F95953">
      <w:pPr>
        <w:pStyle w:val="ListParagraph"/>
        <w:numPr>
          <w:ilvl w:val="0"/>
          <w:numId w:val="10"/>
        </w:numPr>
      </w:pPr>
      <w:r>
        <w:t>Drafting</w:t>
      </w:r>
      <w:r w:rsidR="00DC6F9A">
        <w:t xml:space="preserve"> any changes that need to be made to the scheme’s trust deed and rules and other documents such as deeds of appointment and removal of trustees</w:t>
      </w:r>
      <w:r w:rsidR="008F0912">
        <w:t>,</w:t>
      </w:r>
      <w:r w:rsidR="00DC6F9A">
        <w:t xml:space="preserve">  </w:t>
      </w:r>
    </w:p>
    <w:p w14:paraId="56FEDEB2" w14:textId="6529E6CF" w:rsidR="002A5DF3" w:rsidRDefault="002A5DF3" w:rsidP="008B10EE">
      <w:pPr>
        <w:pStyle w:val="ListParagraph"/>
        <w:numPr>
          <w:ilvl w:val="0"/>
          <w:numId w:val="10"/>
        </w:numPr>
      </w:pPr>
      <w:r>
        <w:t>D</w:t>
      </w:r>
      <w:r w:rsidR="00DC6F9A">
        <w:t>rafting documents such as recovery plans, merger agreements and contingent asset agreements</w:t>
      </w:r>
      <w:r w:rsidR="008F0912">
        <w:t>,</w:t>
      </w:r>
      <w:r w:rsidR="00DC6F9A">
        <w:t xml:space="preserve">  </w:t>
      </w:r>
    </w:p>
    <w:p w14:paraId="4FAE8837" w14:textId="5B5EC67F" w:rsidR="008F0912" w:rsidRDefault="008F0912" w:rsidP="008B10EE">
      <w:pPr>
        <w:pStyle w:val="ListParagraph"/>
        <w:numPr>
          <w:ilvl w:val="0"/>
          <w:numId w:val="10"/>
        </w:numPr>
      </w:pPr>
      <w:r>
        <w:t>A</w:t>
      </w:r>
      <w:r w:rsidR="00DC6F9A">
        <w:t>dvising on the legal aspects of corporate transactions and drafting the sale and purchase agreement</w:t>
      </w:r>
      <w:r>
        <w:t>,</w:t>
      </w:r>
    </w:p>
    <w:p w14:paraId="405D9782" w14:textId="346356CF" w:rsidR="00474648" w:rsidRDefault="008F0912" w:rsidP="008B10EE">
      <w:pPr>
        <w:pStyle w:val="ListParagraph"/>
        <w:numPr>
          <w:ilvl w:val="0"/>
          <w:numId w:val="10"/>
        </w:numPr>
      </w:pPr>
      <w:r>
        <w:t>A</w:t>
      </w:r>
      <w:r w:rsidR="00DC6F9A">
        <w:t>dvising on disputes in relation to the scheme.</w:t>
      </w:r>
    </w:p>
    <w:p w14:paraId="620602D0" w14:textId="1BA6C792" w:rsidR="00160D23" w:rsidRDefault="00160D23" w:rsidP="00474648">
      <w:pPr>
        <w:pStyle w:val="ListParagraph"/>
        <w:ind w:left="1080"/>
      </w:pPr>
    </w:p>
    <w:p w14:paraId="6842F5FE" w14:textId="216AAB45" w:rsidR="00160D23" w:rsidRPr="008B10EE" w:rsidRDefault="003E3F27" w:rsidP="008B10EE">
      <w:pPr>
        <w:rPr>
          <w:u w:val="single"/>
        </w:rPr>
      </w:pPr>
      <w:r w:rsidRPr="008B10EE">
        <w:rPr>
          <w:u w:val="single"/>
        </w:rPr>
        <w:t xml:space="preserve">Investment </w:t>
      </w:r>
      <w:r w:rsidR="00170B2B" w:rsidRPr="008B10EE">
        <w:rPr>
          <w:u w:val="single"/>
        </w:rPr>
        <w:t>A</w:t>
      </w:r>
      <w:r w:rsidRPr="008B10EE">
        <w:rPr>
          <w:u w:val="single"/>
        </w:rPr>
        <w:t>dviser</w:t>
      </w:r>
    </w:p>
    <w:p w14:paraId="6076AE1F" w14:textId="3AB71291" w:rsidR="003E3F27" w:rsidRDefault="00947560" w:rsidP="008B10EE">
      <w:pPr>
        <w:pStyle w:val="ListParagraph"/>
        <w:numPr>
          <w:ilvl w:val="0"/>
          <w:numId w:val="11"/>
        </w:numPr>
      </w:pPr>
      <w:r>
        <w:t>Role includes giving u</w:t>
      </w:r>
      <w:r w:rsidR="000B3B54">
        <w:t>pdate</w:t>
      </w:r>
      <w:r>
        <w:t>s to</w:t>
      </w:r>
      <w:r w:rsidR="000B3B54">
        <w:t xml:space="preserve"> clients on the short and long-term performance of their scheme assets,</w:t>
      </w:r>
    </w:p>
    <w:p w14:paraId="7BF2DC17" w14:textId="7BD5DC4B" w:rsidR="000B3B54" w:rsidRDefault="000B3B54" w:rsidP="008B10EE">
      <w:pPr>
        <w:pStyle w:val="ListParagraph"/>
        <w:numPr>
          <w:ilvl w:val="0"/>
          <w:numId w:val="11"/>
        </w:numPr>
      </w:pPr>
      <w:r>
        <w:t xml:space="preserve">Advise on the most appropriate </w:t>
      </w:r>
      <w:r w:rsidR="001D4CFD">
        <w:t>asset allocations for scheme assets,</w:t>
      </w:r>
    </w:p>
    <w:p w14:paraId="501B6CF6" w14:textId="5F38D6F9" w:rsidR="001D4CFD" w:rsidRDefault="001D4CFD" w:rsidP="008B10EE">
      <w:pPr>
        <w:pStyle w:val="ListParagraph"/>
        <w:numPr>
          <w:ilvl w:val="0"/>
          <w:numId w:val="11"/>
        </w:numPr>
      </w:pPr>
      <w:r>
        <w:t xml:space="preserve">Review long-term investment strategies on an annual / </w:t>
      </w:r>
      <w:r w:rsidR="009D697B">
        <w:t>3-year</w:t>
      </w:r>
      <w:r w:rsidR="00231E4D">
        <w:t xml:space="preserve"> basis,</w:t>
      </w:r>
    </w:p>
    <w:p w14:paraId="2C1DB1A5" w14:textId="5361EF50" w:rsidR="00231E4D" w:rsidRDefault="00231E4D" w:rsidP="008B10EE">
      <w:pPr>
        <w:pStyle w:val="ListParagraph"/>
        <w:numPr>
          <w:ilvl w:val="0"/>
          <w:numId w:val="11"/>
        </w:numPr>
      </w:pPr>
      <w:r>
        <w:t xml:space="preserve">Research, monitor and recommend a range of </w:t>
      </w:r>
      <w:r w:rsidR="009D697B">
        <w:t>high-quality</w:t>
      </w:r>
      <w:r>
        <w:t xml:space="preserve"> investment managers,</w:t>
      </w:r>
    </w:p>
    <w:p w14:paraId="6C815922" w14:textId="68866648" w:rsidR="00231E4D" w:rsidRDefault="00231E4D" w:rsidP="008B10EE">
      <w:pPr>
        <w:pStyle w:val="ListParagraph"/>
        <w:numPr>
          <w:ilvl w:val="0"/>
          <w:numId w:val="11"/>
        </w:numPr>
      </w:pPr>
      <w:r>
        <w:t>Co-ordinate and manage the transfer of assets</w:t>
      </w:r>
      <w:r w:rsidR="009D697B">
        <w:t>,</w:t>
      </w:r>
    </w:p>
    <w:p w14:paraId="53B52CD9" w14:textId="4B4363B6" w:rsidR="009D697B" w:rsidRDefault="009D697B" w:rsidP="008B10EE">
      <w:pPr>
        <w:pStyle w:val="ListParagraph"/>
        <w:numPr>
          <w:ilvl w:val="0"/>
          <w:numId w:val="11"/>
        </w:numPr>
      </w:pPr>
      <w:r>
        <w:t>Provide training for trustees to introduce them to advanced investment concepts.</w:t>
      </w:r>
    </w:p>
    <w:p w14:paraId="73550C04" w14:textId="20BAD98F" w:rsidR="00AC1E26" w:rsidRDefault="00AC1E26" w:rsidP="003E3F27">
      <w:pPr>
        <w:pStyle w:val="ListParagraph"/>
        <w:ind w:left="1080"/>
      </w:pPr>
    </w:p>
    <w:p w14:paraId="3B391033" w14:textId="03A41186" w:rsidR="00AC1E26" w:rsidRPr="008B10EE" w:rsidRDefault="00AC1E26" w:rsidP="008B10EE">
      <w:pPr>
        <w:rPr>
          <w:u w:val="single"/>
        </w:rPr>
      </w:pPr>
      <w:r w:rsidRPr="008B10EE">
        <w:rPr>
          <w:u w:val="single"/>
        </w:rPr>
        <w:t>Actuary</w:t>
      </w:r>
    </w:p>
    <w:p w14:paraId="36BE02BE" w14:textId="77777777" w:rsidR="001E131F" w:rsidRDefault="00947560" w:rsidP="008B10EE">
      <w:pPr>
        <w:pStyle w:val="ListParagraph"/>
        <w:numPr>
          <w:ilvl w:val="0"/>
          <w:numId w:val="12"/>
        </w:numPr>
      </w:pPr>
      <w:r>
        <w:t>Role includes a</w:t>
      </w:r>
      <w:r w:rsidR="00DC6451">
        <w:t>ssessing the funding position of the scheme</w:t>
      </w:r>
      <w:r w:rsidR="001E131F">
        <w:t>,</w:t>
      </w:r>
    </w:p>
    <w:p w14:paraId="55973473" w14:textId="110A1C9E" w:rsidR="001E131F" w:rsidRDefault="001E131F" w:rsidP="008B10EE">
      <w:pPr>
        <w:pStyle w:val="ListParagraph"/>
        <w:numPr>
          <w:ilvl w:val="0"/>
          <w:numId w:val="12"/>
        </w:numPr>
      </w:pPr>
      <w:r>
        <w:lastRenderedPageBreak/>
        <w:t>P</w:t>
      </w:r>
      <w:r w:rsidR="00DC6451">
        <w:t>reparing the triennial actuarial valuation, the interim funding reports and advising on the terms of the funding arrangements for the scheme, including the suitability of the scheme’s schedule of contributions and recovery plan (if any)</w:t>
      </w:r>
      <w:r>
        <w:t>,</w:t>
      </w:r>
    </w:p>
    <w:p w14:paraId="197D9C55" w14:textId="42291C10" w:rsidR="001E131F" w:rsidRDefault="001E131F" w:rsidP="008B10EE">
      <w:pPr>
        <w:pStyle w:val="ListParagraph"/>
        <w:numPr>
          <w:ilvl w:val="0"/>
          <w:numId w:val="12"/>
        </w:numPr>
      </w:pPr>
      <w:r>
        <w:t>A</w:t>
      </w:r>
      <w:r w:rsidR="00DC6451">
        <w:t>dvising the trustees on the methods and assumptions that should be used to set the scheme’s technical provisions</w:t>
      </w:r>
      <w:r>
        <w:t>,</w:t>
      </w:r>
    </w:p>
    <w:p w14:paraId="6452C7F3" w14:textId="0E6519CC" w:rsidR="001E131F" w:rsidRDefault="001E131F" w:rsidP="008B10EE">
      <w:pPr>
        <w:pStyle w:val="ListParagraph"/>
        <w:numPr>
          <w:ilvl w:val="0"/>
          <w:numId w:val="12"/>
        </w:numPr>
      </w:pPr>
      <w:r>
        <w:t>C</w:t>
      </w:r>
      <w:r w:rsidR="00DC6451">
        <w:t>alculating members’ benefit entitlements (including ill health pensions, early/late retirement pensions and cash equivalent transfer values)</w:t>
      </w:r>
      <w:r>
        <w:t>,</w:t>
      </w:r>
      <w:r w:rsidR="00DC6451">
        <w:t xml:space="preserve"> </w:t>
      </w:r>
    </w:p>
    <w:p w14:paraId="486F850D" w14:textId="6986916C" w:rsidR="00AB019A" w:rsidRDefault="001E131F" w:rsidP="008B10EE">
      <w:pPr>
        <w:pStyle w:val="ListParagraph"/>
        <w:numPr>
          <w:ilvl w:val="0"/>
          <w:numId w:val="12"/>
        </w:numPr>
      </w:pPr>
      <w:r>
        <w:t>A</w:t>
      </w:r>
      <w:r w:rsidR="00DC6451">
        <w:t>dvising the trustees on the assumptions that should be used to calculate transfer values</w:t>
      </w:r>
      <w:r w:rsidR="00AB019A">
        <w:t>,</w:t>
      </w:r>
    </w:p>
    <w:p w14:paraId="4840EB44" w14:textId="2AA33AAA" w:rsidR="00AC1E26" w:rsidRDefault="00AB019A" w:rsidP="008B10EE">
      <w:pPr>
        <w:pStyle w:val="ListParagraph"/>
        <w:numPr>
          <w:ilvl w:val="0"/>
          <w:numId w:val="12"/>
        </w:numPr>
      </w:pPr>
      <w:r>
        <w:t>C</w:t>
      </w:r>
      <w:r w:rsidR="00DC6451">
        <w:t>alculating any ‘section 75’ debts on the employer that become payable in respect of the scheme usually when an employer becomes insolvent, the scheme winds up, or in the case of a multi-employer scheme, when one of the employers is deemed to have ceased to participate in the scheme</w:t>
      </w:r>
      <w:r>
        <w:t>.</w:t>
      </w:r>
    </w:p>
    <w:p w14:paraId="530E5FFA" w14:textId="6984D9F3" w:rsidR="00AB019A" w:rsidRDefault="00AB019A" w:rsidP="00AC1E26">
      <w:pPr>
        <w:pStyle w:val="ListParagraph"/>
        <w:ind w:left="1080"/>
      </w:pPr>
    </w:p>
    <w:p w14:paraId="65358972" w14:textId="7B2A2500" w:rsidR="00D758BA" w:rsidRDefault="00D758BA" w:rsidP="00D758BA">
      <w:pPr>
        <w:ind w:left="360"/>
      </w:pPr>
      <w:r>
        <w:t>(Relevant section of the manual is Part 2 Chapter 1.</w:t>
      </w:r>
      <w:r w:rsidR="006230E1">
        <w:t>18.1, 1.18.2 &amp; 1.18.3</w:t>
      </w:r>
      <w:r>
        <w:t>)</w:t>
      </w:r>
    </w:p>
    <w:p w14:paraId="0F51A8D6" w14:textId="482AF764" w:rsidR="00D758BA" w:rsidRDefault="00D758BA" w:rsidP="00D758BA">
      <w:pPr>
        <w:ind w:left="360"/>
      </w:pPr>
    </w:p>
    <w:p w14:paraId="3361907E" w14:textId="77777777" w:rsidR="00A1198A" w:rsidRDefault="00A1198A" w:rsidP="00D758BA">
      <w:pPr>
        <w:ind w:left="360"/>
      </w:pPr>
    </w:p>
    <w:p w14:paraId="5979CC42" w14:textId="7C121C5B" w:rsidR="00165157" w:rsidRPr="001D5984" w:rsidRDefault="006A7DAA" w:rsidP="001D5984">
      <w:pPr>
        <w:pStyle w:val="ListParagraph"/>
        <w:numPr>
          <w:ilvl w:val="0"/>
          <w:numId w:val="8"/>
        </w:numPr>
        <w:rPr>
          <w:b/>
          <w:bCs/>
        </w:rPr>
      </w:pPr>
      <w:r>
        <w:rPr>
          <w:b/>
          <w:bCs/>
        </w:rPr>
        <w:t xml:space="preserve">When appointing an Investment Manager, list </w:t>
      </w:r>
      <w:r w:rsidR="00E16CFC">
        <w:rPr>
          <w:b/>
          <w:bCs/>
        </w:rPr>
        <w:t xml:space="preserve">5 things that should be included within the terms of the engagement. </w:t>
      </w:r>
    </w:p>
    <w:p w14:paraId="09E78C0E" w14:textId="6C5EE86C" w:rsidR="00D46B3C" w:rsidRDefault="00D46B3C" w:rsidP="00D46B3C">
      <w:pPr>
        <w:jc w:val="right"/>
        <w:rPr>
          <w:b/>
          <w:bCs/>
        </w:rPr>
      </w:pPr>
      <w:r>
        <w:rPr>
          <w:b/>
          <w:bCs/>
        </w:rPr>
        <w:t>5 Marks</w:t>
      </w:r>
    </w:p>
    <w:p w14:paraId="0FB9C290" w14:textId="53220C0C" w:rsidR="00456895" w:rsidRDefault="00456895" w:rsidP="001D5984">
      <w:pPr>
        <w:ind w:firstLine="360"/>
      </w:pPr>
      <w:r>
        <w:t xml:space="preserve">Answer should </w:t>
      </w:r>
      <w:r w:rsidR="00C26D0A">
        <w:t>include 5 of</w:t>
      </w:r>
      <w:r>
        <w:t xml:space="preserve"> the following:</w:t>
      </w:r>
    </w:p>
    <w:p w14:paraId="702A765F" w14:textId="5AC274E3" w:rsidR="00C26D0A" w:rsidRDefault="00C26D0A" w:rsidP="00456895">
      <w:pPr>
        <w:pStyle w:val="ListParagraph"/>
        <w:numPr>
          <w:ilvl w:val="0"/>
          <w:numId w:val="5"/>
        </w:numPr>
      </w:pPr>
      <w:r>
        <w:t>T</w:t>
      </w:r>
      <w:r>
        <w:t>he trustees’ investment objectives</w:t>
      </w:r>
      <w:r w:rsidR="007B1603">
        <w:t>,</w:t>
      </w:r>
    </w:p>
    <w:p w14:paraId="2B7105A3" w14:textId="509D6267" w:rsidR="00C26D0A" w:rsidRDefault="00B4132D" w:rsidP="00456895">
      <w:pPr>
        <w:pStyle w:val="ListParagraph"/>
        <w:numPr>
          <w:ilvl w:val="0"/>
          <w:numId w:val="5"/>
        </w:numPr>
      </w:pPr>
      <w:proofErr w:type="gramStart"/>
      <w:r>
        <w:t>P</w:t>
      </w:r>
      <w:r w:rsidR="00C26D0A">
        <w:t>articular market</w:t>
      </w:r>
      <w:proofErr w:type="gramEnd"/>
      <w:r w:rsidR="00C26D0A">
        <w:t xml:space="preserve"> restrictions</w:t>
      </w:r>
      <w:r w:rsidR="007B1603">
        <w:t>,</w:t>
      </w:r>
      <w:r w:rsidR="00C26D0A">
        <w:t xml:space="preserve"> </w:t>
      </w:r>
    </w:p>
    <w:p w14:paraId="1423B8ED" w14:textId="40813F46" w:rsidR="00C26D0A" w:rsidRDefault="00B4132D" w:rsidP="00456895">
      <w:pPr>
        <w:pStyle w:val="ListParagraph"/>
        <w:numPr>
          <w:ilvl w:val="0"/>
          <w:numId w:val="5"/>
        </w:numPr>
      </w:pPr>
      <w:proofErr w:type="gramStart"/>
      <w:r>
        <w:t>P</w:t>
      </w:r>
      <w:r w:rsidR="00C26D0A">
        <w:t>articular investment</w:t>
      </w:r>
      <w:proofErr w:type="gramEnd"/>
      <w:r w:rsidR="00C26D0A">
        <w:t xml:space="preserve"> restrictions</w:t>
      </w:r>
      <w:r w:rsidR="007B1603">
        <w:t>,</w:t>
      </w:r>
      <w:r w:rsidR="00C26D0A">
        <w:t xml:space="preserve"> </w:t>
      </w:r>
    </w:p>
    <w:p w14:paraId="1E1E24C3" w14:textId="785A1EB0" w:rsidR="00C26D0A" w:rsidRDefault="00B4132D" w:rsidP="00456895">
      <w:pPr>
        <w:pStyle w:val="ListParagraph"/>
        <w:numPr>
          <w:ilvl w:val="0"/>
          <w:numId w:val="5"/>
        </w:numPr>
      </w:pPr>
      <w:r>
        <w:t>W</w:t>
      </w:r>
      <w:r w:rsidR="00C26D0A">
        <w:t>arnings of investments that are difficult to realise</w:t>
      </w:r>
      <w:r w:rsidR="007B1603">
        <w:t>,</w:t>
      </w:r>
      <w:r w:rsidR="00C26D0A">
        <w:t xml:space="preserve"> </w:t>
      </w:r>
    </w:p>
    <w:p w14:paraId="76829F1C" w14:textId="38AD2EA8" w:rsidR="00C26D0A" w:rsidRDefault="00B4132D" w:rsidP="00456895">
      <w:pPr>
        <w:pStyle w:val="ListParagraph"/>
        <w:numPr>
          <w:ilvl w:val="0"/>
          <w:numId w:val="5"/>
        </w:numPr>
      </w:pPr>
      <w:r>
        <w:t>D</w:t>
      </w:r>
      <w:r w:rsidR="00C26D0A">
        <w:t>etails of how to terminate the agreement</w:t>
      </w:r>
      <w:r w:rsidR="007B1603">
        <w:t>,</w:t>
      </w:r>
      <w:r w:rsidR="00C26D0A">
        <w:t xml:space="preserve"> </w:t>
      </w:r>
    </w:p>
    <w:p w14:paraId="1925C7BB" w14:textId="45FD54C9" w:rsidR="00C26D0A" w:rsidRDefault="00B4132D" w:rsidP="00456895">
      <w:pPr>
        <w:pStyle w:val="ListParagraph"/>
        <w:numPr>
          <w:ilvl w:val="0"/>
          <w:numId w:val="5"/>
        </w:numPr>
      </w:pPr>
      <w:r>
        <w:t>A</w:t>
      </w:r>
      <w:r w:rsidR="00C26D0A">
        <w:t>rrangements for communicating with the trustees</w:t>
      </w:r>
      <w:r w:rsidR="007B1603">
        <w:t>,</w:t>
      </w:r>
      <w:r w:rsidR="00C26D0A">
        <w:t xml:space="preserve"> </w:t>
      </w:r>
    </w:p>
    <w:p w14:paraId="212593FB" w14:textId="536C41E4" w:rsidR="00C26D0A" w:rsidRDefault="00B4132D" w:rsidP="00456895">
      <w:pPr>
        <w:pStyle w:val="ListParagraph"/>
        <w:numPr>
          <w:ilvl w:val="0"/>
          <w:numId w:val="5"/>
        </w:numPr>
      </w:pPr>
      <w:r>
        <w:t>S</w:t>
      </w:r>
      <w:r w:rsidR="00C26D0A">
        <w:t xml:space="preserve">pecial warnings where investment is made in futures and options; and </w:t>
      </w:r>
    </w:p>
    <w:p w14:paraId="75F6069F" w14:textId="7E8F070D" w:rsidR="001365F2" w:rsidRDefault="00B4132D" w:rsidP="00495E9C">
      <w:pPr>
        <w:pStyle w:val="ListParagraph"/>
        <w:numPr>
          <w:ilvl w:val="0"/>
          <w:numId w:val="5"/>
        </w:numPr>
      </w:pPr>
      <w:r>
        <w:t>S</w:t>
      </w:r>
      <w:r w:rsidR="00C26D0A">
        <w:t>pecial rules for portfolios managed on a discretionary basis</w:t>
      </w:r>
      <w:r w:rsidR="00495E9C">
        <w:t xml:space="preserve">. </w:t>
      </w:r>
    </w:p>
    <w:p w14:paraId="26F38FB5" w14:textId="4E4CF7F0" w:rsidR="001365F2" w:rsidRDefault="001365F2" w:rsidP="001365F2">
      <w:pPr>
        <w:ind w:left="360"/>
      </w:pPr>
      <w:r>
        <w:t>(Relevant section of the manual is Part 2 Chapter 1.</w:t>
      </w:r>
      <w:r w:rsidR="00495E9C">
        <w:t>20</w:t>
      </w:r>
      <w:r>
        <w:t>)</w:t>
      </w:r>
    </w:p>
    <w:p w14:paraId="44A14139" w14:textId="77777777" w:rsidR="00025F8B" w:rsidRPr="00456895" w:rsidRDefault="00025F8B" w:rsidP="00025F8B">
      <w:pPr>
        <w:ind w:left="360"/>
      </w:pPr>
    </w:p>
    <w:p w14:paraId="43C3B9F9" w14:textId="77777777" w:rsidR="00DC7E7C" w:rsidRDefault="00DC7E7C" w:rsidP="00D84343">
      <w:pPr>
        <w:ind w:left="360"/>
      </w:pPr>
    </w:p>
    <w:p w14:paraId="4062446F" w14:textId="7EC0EC5A" w:rsidR="00394FB5" w:rsidRPr="00D76CF8" w:rsidRDefault="00394FB5" w:rsidP="00B91163">
      <w:pPr>
        <w:ind w:left="360"/>
      </w:pPr>
    </w:p>
    <w:sectPr w:rsidR="00394FB5" w:rsidRPr="00D76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0B4"/>
    <w:multiLevelType w:val="hybridMultilevel"/>
    <w:tmpl w:val="5CBAA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EC2ADD"/>
    <w:multiLevelType w:val="hybridMultilevel"/>
    <w:tmpl w:val="F7C29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D45A8A"/>
    <w:multiLevelType w:val="hybridMultilevel"/>
    <w:tmpl w:val="42263A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DB540A"/>
    <w:multiLevelType w:val="hybridMultilevel"/>
    <w:tmpl w:val="9FF0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F0632"/>
    <w:multiLevelType w:val="hybridMultilevel"/>
    <w:tmpl w:val="DD1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A30"/>
    <w:multiLevelType w:val="hybridMultilevel"/>
    <w:tmpl w:val="BC70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A4F55"/>
    <w:multiLevelType w:val="hybridMultilevel"/>
    <w:tmpl w:val="B8788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BA4893"/>
    <w:multiLevelType w:val="hybridMultilevel"/>
    <w:tmpl w:val="FFF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C0AC1"/>
    <w:multiLevelType w:val="hybridMultilevel"/>
    <w:tmpl w:val="4D264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694AF8"/>
    <w:multiLevelType w:val="hybridMultilevel"/>
    <w:tmpl w:val="C78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87261"/>
    <w:multiLevelType w:val="hybridMultilevel"/>
    <w:tmpl w:val="798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C3994"/>
    <w:multiLevelType w:val="hybridMultilevel"/>
    <w:tmpl w:val="06EA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9"/>
  </w:num>
  <w:num w:numId="6">
    <w:abstractNumId w:val="10"/>
  </w:num>
  <w:num w:numId="7">
    <w:abstractNumId w:val="0"/>
  </w:num>
  <w:num w:numId="8">
    <w:abstractNumId w:val="3"/>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D"/>
    <w:rsid w:val="00025F8B"/>
    <w:rsid w:val="0003446B"/>
    <w:rsid w:val="00065684"/>
    <w:rsid w:val="000B3B54"/>
    <w:rsid w:val="00120807"/>
    <w:rsid w:val="00122A8A"/>
    <w:rsid w:val="001365F2"/>
    <w:rsid w:val="00140CEF"/>
    <w:rsid w:val="00160D23"/>
    <w:rsid w:val="00165157"/>
    <w:rsid w:val="00170B2B"/>
    <w:rsid w:val="00170F32"/>
    <w:rsid w:val="001A05A0"/>
    <w:rsid w:val="001B2E48"/>
    <w:rsid w:val="001D08D6"/>
    <w:rsid w:val="001D2D30"/>
    <w:rsid w:val="001D4CFD"/>
    <w:rsid w:val="001D4FA7"/>
    <w:rsid w:val="001D5984"/>
    <w:rsid w:val="001E053B"/>
    <w:rsid w:val="001E131F"/>
    <w:rsid w:val="001F72E9"/>
    <w:rsid w:val="0021045E"/>
    <w:rsid w:val="00231E4D"/>
    <w:rsid w:val="002337FC"/>
    <w:rsid w:val="0024763B"/>
    <w:rsid w:val="0026373F"/>
    <w:rsid w:val="0027388A"/>
    <w:rsid w:val="00294CEC"/>
    <w:rsid w:val="00296676"/>
    <w:rsid w:val="002A3F69"/>
    <w:rsid w:val="002A5DF3"/>
    <w:rsid w:val="002E6DD7"/>
    <w:rsid w:val="00310995"/>
    <w:rsid w:val="003317B9"/>
    <w:rsid w:val="00394FB5"/>
    <w:rsid w:val="003C7F0C"/>
    <w:rsid w:val="003E3F27"/>
    <w:rsid w:val="00402654"/>
    <w:rsid w:val="00405B9B"/>
    <w:rsid w:val="004251EE"/>
    <w:rsid w:val="00425F0E"/>
    <w:rsid w:val="00456895"/>
    <w:rsid w:val="00474648"/>
    <w:rsid w:val="00495E9C"/>
    <w:rsid w:val="004B7DBE"/>
    <w:rsid w:val="004C6B61"/>
    <w:rsid w:val="004D0F6C"/>
    <w:rsid w:val="004D172D"/>
    <w:rsid w:val="004F1A68"/>
    <w:rsid w:val="00506DC8"/>
    <w:rsid w:val="005200AF"/>
    <w:rsid w:val="00557C24"/>
    <w:rsid w:val="005639B7"/>
    <w:rsid w:val="0057782C"/>
    <w:rsid w:val="005F0447"/>
    <w:rsid w:val="006230E1"/>
    <w:rsid w:val="00637999"/>
    <w:rsid w:val="0064182A"/>
    <w:rsid w:val="006418B4"/>
    <w:rsid w:val="00643D99"/>
    <w:rsid w:val="0064485E"/>
    <w:rsid w:val="006910B1"/>
    <w:rsid w:val="006A7DAA"/>
    <w:rsid w:val="006C5A0D"/>
    <w:rsid w:val="006F0A01"/>
    <w:rsid w:val="00703253"/>
    <w:rsid w:val="00727A1A"/>
    <w:rsid w:val="0073425D"/>
    <w:rsid w:val="007B1603"/>
    <w:rsid w:val="007B37EC"/>
    <w:rsid w:val="007C224A"/>
    <w:rsid w:val="007C6383"/>
    <w:rsid w:val="007F1EEA"/>
    <w:rsid w:val="008124DA"/>
    <w:rsid w:val="0087184B"/>
    <w:rsid w:val="00896F4E"/>
    <w:rsid w:val="008A4F80"/>
    <w:rsid w:val="008B10EE"/>
    <w:rsid w:val="008C6D0E"/>
    <w:rsid w:val="008F0912"/>
    <w:rsid w:val="008F65E2"/>
    <w:rsid w:val="009131EA"/>
    <w:rsid w:val="0093527C"/>
    <w:rsid w:val="00947560"/>
    <w:rsid w:val="009B1257"/>
    <w:rsid w:val="009B20F2"/>
    <w:rsid w:val="009D697B"/>
    <w:rsid w:val="009E3798"/>
    <w:rsid w:val="009F1A59"/>
    <w:rsid w:val="00A1198A"/>
    <w:rsid w:val="00A16109"/>
    <w:rsid w:val="00A36B7B"/>
    <w:rsid w:val="00A40B90"/>
    <w:rsid w:val="00A52E2B"/>
    <w:rsid w:val="00A67B40"/>
    <w:rsid w:val="00A724D3"/>
    <w:rsid w:val="00A75B28"/>
    <w:rsid w:val="00AB019A"/>
    <w:rsid w:val="00AC1E26"/>
    <w:rsid w:val="00AE0AA6"/>
    <w:rsid w:val="00B4132D"/>
    <w:rsid w:val="00B457BB"/>
    <w:rsid w:val="00B5328F"/>
    <w:rsid w:val="00B53549"/>
    <w:rsid w:val="00B72DC0"/>
    <w:rsid w:val="00B91163"/>
    <w:rsid w:val="00B92D91"/>
    <w:rsid w:val="00BD193B"/>
    <w:rsid w:val="00BE79CC"/>
    <w:rsid w:val="00C240B3"/>
    <w:rsid w:val="00C26D0A"/>
    <w:rsid w:val="00C44292"/>
    <w:rsid w:val="00C50B46"/>
    <w:rsid w:val="00C54A85"/>
    <w:rsid w:val="00C76BEF"/>
    <w:rsid w:val="00C76CF5"/>
    <w:rsid w:val="00C86A94"/>
    <w:rsid w:val="00CD574B"/>
    <w:rsid w:val="00CE327A"/>
    <w:rsid w:val="00D023F6"/>
    <w:rsid w:val="00D14024"/>
    <w:rsid w:val="00D20F19"/>
    <w:rsid w:val="00D34AF2"/>
    <w:rsid w:val="00D46B3C"/>
    <w:rsid w:val="00D657FF"/>
    <w:rsid w:val="00D6797C"/>
    <w:rsid w:val="00D758BA"/>
    <w:rsid w:val="00D76CF8"/>
    <w:rsid w:val="00D81354"/>
    <w:rsid w:val="00D84343"/>
    <w:rsid w:val="00D93B96"/>
    <w:rsid w:val="00DA4155"/>
    <w:rsid w:val="00DA77D6"/>
    <w:rsid w:val="00DC0B5F"/>
    <w:rsid w:val="00DC6451"/>
    <w:rsid w:val="00DC6F9A"/>
    <w:rsid w:val="00DC7E7C"/>
    <w:rsid w:val="00DD6ED0"/>
    <w:rsid w:val="00E03937"/>
    <w:rsid w:val="00E16CFC"/>
    <w:rsid w:val="00E23217"/>
    <w:rsid w:val="00E278EA"/>
    <w:rsid w:val="00E727F4"/>
    <w:rsid w:val="00F70C5D"/>
    <w:rsid w:val="00F93727"/>
    <w:rsid w:val="00F95111"/>
    <w:rsid w:val="00F95953"/>
    <w:rsid w:val="00FD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A94"/>
  <w15:chartTrackingRefBased/>
  <w15:docId w15:val="{0E141CBB-385F-4F27-A2ED-A41FC57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Spillings, Tara (Capita Experience Pension Solutions)</cp:lastModifiedBy>
  <cp:revision>2</cp:revision>
  <dcterms:created xsi:type="dcterms:W3CDTF">2022-10-21T18:45:00Z</dcterms:created>
  <dcterms:modified xsi:type="dcterms:W3CDTF">2022-10-21T18:45:00Z</dcterms:modified>
</cp:coreProperties>
</file>