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B643" w14:textId="11778F65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069CE" wp14:editId="60900E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0EE80B8C" w14:textId="77777777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770FC037" w14:textId="77777777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324DED53" w14:textId="77777777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72965FFE" w14:textId="77777777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0DED811F" w14:textId="77777777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1A8A11B9" w14:textId="3DD69BB5" w:rsidR="00C07E2C" w:rsidRDefault="00C07E2C" w:rsidP="00924B92">
      <w:pPr>
        <w:spacing w:after="0"/>
        <w:jc w:val="center"/>
      </w:pPr>
    </w:p>
    <w:p w14:paraId="6D203CC0" w14:textId="77777777" w:rsidR="00C07E2C" w:rsidRDefault="00C07E2C" w:rsidP="00924B92">
      <w:pPr>
        <w:spacing w:after="0"/>
        <w:jc w:val="center"/>
      </w:pPr>
    </w:p>
    <w:p w14:paraId="01EB2AC5" w14:textId="56E73AB2" w:rsidR="00924B92" w:rsidRDefault="00924B92" w:rsidP="00924B92">
      <w:pPr>
        <w:spacing w:after="0"/>
        <w:jc w:val="center"/>
      </w:pPr>
      <w:r>
        <w:t xml:space="preserve">Core Unit 1A – </w:t>
      </w:r>
      <w:r w:rsidR="009056D6">
        <w:t>Understanding Retirement Provision</w:t>
      </w:r>
    </w:p>
    <w:p w14:paraId="336A27B5" w14:textId="5C7F415D" w:rsidR="00924B92" w:rsidRDefault="00924B92" w:rsidP="00924B92">
      <w:pPr>
        <w:spacing w:after="0"/>
        <w:jc w:val="center"/>
      </w:pPr>
      <w:r>
        <w:t>Assignment 1 Notes</w:t>
      </w:r>
    </w:p>
    <w:p w14:paraId="3A95317E" w14:textId="18FB7F34" w:rsidR="00924B92" w:rsidRDefault="00924B92" w:rsidP="00924B92">
      <w:pPr>
        <w:spacing w:after="0"/>
        <w:jc w:val="center"/>
      </w:pPr>
      <w:r>
        <w:t>(Part 1 – Providing for Retirement)</w:t>
      </w:r>
    </w:p>
    <w:p w14:paraId="72483ECB" w14:textId="77777777" w:rsidR="00924B92" w:rsidRDefault="00924B92" w:rsidP="00924B92">
      <w:pPr>
        <w:spacing w:after="0"/>
        <w:jc w:val="center"/>
      </w:pPr>
    </w:p>
    <w:p w14:paraId="6CA42B3F" w14:textId="589DEAAE" w:rsidR="00310136" w:rsidRDefault="00924B92" w:rsidP="00924B92">
      <w:pPr>
        <w:spacing w:after="0"/>
        <w:jc w:val="center"/>
      </w:pPr>
      <w:r>
        <w:t>Recommended Time: 1 Hour</w:t>
      </w:r>
    </w:p>
    <w:p w14:paraId="3D40F5A5" w14:textId="77777777" w:rsidR="00924B92" w:rsidRDefault="00924B92" w:rsidP="00924B92">
      <w:pPr>
        <w:spacing w:after="0"/>
        <w:jc w:val="center"/>
        <w:rPr>
          <w:b/>
          <w:bCs/>
        </w:rPr>
      </w:pPr>
    </w:p>
    <w:p w14:paraId="27113468" w14:textId="5E147FA4" w:rsidR="00310136" w:rsidRPr="00924B92" w:rsidRDefault="009056D6" w:rsidP="00924B9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In July 2020, the Work and Pensions Committee (WPC) launched a 3-part inquiry into the impact of the pension freedoms and the protection of savers. Please outline what each part of the inquiry covered.</w:t>
      </w:r>
    </w:p>
    <w:p w14:paraId="5A143FE7" w14:textId="444A6995" w:rsidR="00310136" w:rsidRPr="00310136" w:rsidRDefault="00310136" w:rsidP="00310136">
      <w:pPr>
        <w:jc w:val="right"/>
        <w:rPr>
          <w:b/>
          <w:bCs/>
        </w:rPr>
      </w:pPr>
      <w:r>
        <w:rPr>
          <w:b/>
          <w:bCs/>
        </w:rPr>
        <w:t xml:space="preserve">5 </w:t>
      </w:r>
      <w:r w:rsidR="00867F2B">
        <w:rPr>
          <w:b/>
          <w:bCs/>
        </w:rPr>
        <w:t>m</w:t>
      </w:r>
      <w:r>
        <w:rPr>
          <w:b/>
          <w:bCs/>
        </w:rPr>
        <w:t>arks</w:t>
      </w:r>
    </w:p>
    <w:p w14:paraId="6D26849E" w14:textId="187804B2" w:rsidR="00310136" w:rsidRDefault="00924B92" w:rsidP="00924B92">
      <w:pPr>
        <w:ind w:firstLine="360"/>
      </w:pPr>
      <w:r>
        <w:t>A</w:t>
      </w:r>
      <w:r w:rsidR="00310136">
        <w:t>nswer should cover the following:</w:t>
      </w:r>
    </w:p>
    <w:p w14:paraId="517A49C8" w14:textId="6DA836C2" w:rsidR="009056D6" w:rsidRDefault="002916A0" w:rsidP="009056D6">
      <w:pPr>
        <w:pStyle w:val="ListParagraph"/>
        <w:numPr>
          <w:ilvl w:val="0"/>
          <w:numId w:val="12"/>
        </w:numPr>
      </w:pPr>
      <w:r>
        <w:t>Part 1 – pension scams</w:t>
      </w:r>
    </w:p>
    <w:p w14:paraId="69499C85" w14:textId="0D8583B1" w:rsidR="002916A0" w:rsidRDefault="002916A0" w:rsidP="002916A0">
      <w:pPr>
        <w:pStyle w:val="ListParagraph"/>
        <w:ind w:left="1080"/>
      </w:pPr>
      <w:r>
        <w:t>Need for the Government to act quickly and decisively</w:t>
      </w:r>
    </w:p>
    <w:p w14:paraId="00FE37A8" w14:textId="47196F7F" w:rsidR="002916A0" w:rsidRDefault="002916A0" w:rsidP="002916A0">
      <w:pPr>
        <w:pStyle w:val="ListParagraph"/>
        <w:ind w:left="1080"/>
      </w:pPr>
      <w:r>
        <w:t>A key recommendation is for tighter online regulation</w:t>
      </w:r>
    </w:p>
    <w:p w14:paraId="35D736ED" w14:textId="150CBEC5" w:rsidR="002916A0" w:rsidRDefault="002916A0" w:rsidP="002916A0">
      <w:pPr>
        <w:pStyle w:val="ListParagraph"/>
        <w:numPr>
          <w:ilvl w:val="0"/>
          <w:numId w:val="12"/>
        </w:numPr>
      </w:pPr>
      <w:r>
        <w:t>Part 2 – accessing pension savings</w:t>
      </w:r>
    </w:p>
    <w:p w14:paraId="24FF43C4" w14:textId="6C237763" w:rsidR="002916A0" w:rsidRDefault="002916A0" w:rsidP="002916A0">
      <w:pPr>
        <w:pStyle w:val="ListParagraph"/>
        <w:ind w:left="1080"/>
      </w:pPr>
      <w:r>
        <w:t>WPC concluded that although the pension freedoms have been a success, many savers need more support than currently received.</w:t>
      </w:r>
    </w:p>
    <w:p w14:paraId="27A7F632" w14:textId="75ABD7B7" w:rsidR="002916A0" w:rsidRDefault="002916A0" w:rsidP="002916A0">
      <w:pPr>
        <w:pStyle w:val="ListParagraph"/>
        <w:ind w:left="1080"/>
      </w:pPr>
      <w:r>
        <w:t>Call for evidence on helping savers understand their pension choices.</w:t>
      </w:r>
    </w:p>
    <w:p w14:paraId="5C7F6E95" w14:textId="384A5F29" w:rsidR="002916A0" w:rsidRDefault="002916A0" w:rsidP="002916A0">
      <w:pPr>
        <w:pStyle w:val="ListParagraph"/>
        <w:numPr>
          <w:ilvl w:val="0"/>
          <w:numId w:val="12"/>
        </w:numPr>
      </w:pPr>
      <w:r>
        <w:t>Part 3 – underway looking at saving for later life and what more needs to be done to help people plan and save for retirement.</w:t>
      </w:r>
    </w:p>
    <w:p w14:paraId="5C061BAF" w14:textId="3D3412FA" w:rsidR="00102151" w:rsidRDefault="00102151" w:rsidP="002916A0">
      <w:pPr>
        <w:ind w:firstLine="720"/>
      </w:pPr>
      <w:r>
        <w:t>(Relevant section of the manual is Part 1 Chapter 1.4.</w:t>
      </w:r>
      <w:r w:rsidR="002916A0">
        <w:t>4</w:t>
      </w:r>
      <w:r>
        <w:t>)</w:t>
      </w:r>
    </w:p>
    <w:p w14:paraId="0C43FB6D" w14:textId="77777777" w:rsidR="00310136" w:rsidRDefault="00310136">
      <w:pPr>
        <w:rPr>
          <w:b/>
          <w:bCs/>
        </w:rPr>
      </w:pPr>
    </w:p>
    <w:p w14:paraId="6D92BE6E" w14:textId="3BF28EEF" w:rsidR="00746CD7" w:rsidRPr="00924B92" w:rsidRDefault="00783424" w:rsidP="00924B9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There is a growing concern that people </w:t>
      </w:r>
      <w:r w:rsidR="00AB00F0">
        <w:rPr>
          <w:b/>
          <w:bCs/>
        </w:rPr>
        <w:t>are</w:t>
      </w:r>
      <w:r>
        <w:rPr>
          <w:b/>
          <w:bCs/>
        </w:rPr>
        <w:t xml:space="preserve"> not saving enough for their retirement. </w:t>
      </w:r>
      <w:r w:rsidR="001B0FA0">
        <w:rPr>
          <w:b/>
          <w:bCs/>
        </w:rPr>
        <w:t xml:space="preserve">State what factors </w:t>
      </w:r>
      <w:r w:rsidR="00EC7C65">
        <w:rPr>
          <w:b/>
          <w:bCs/>
        </w:rPr>
        <w:t xml:space="preserve">may have contributed </w:t>
      </w:r>
      <w:r w:rsidR="007B61BB">
        <w:rPr>
          <w:b/>
          <w:bCs/>
        </w:rPr>
        <w:t xml:space="preserve">to successive generations not making sufficient </w:t>
      </w:r>
      <w:r w:rsidR="005B180F">
        <w:rPr>
          <w:b/>
          <w:bCs/>
        </w:rPr>
        <w:t>savings.</w:t>
      </w:r>
    </w:p>
    <w:p w14:paraId="58ECB663" w14:textId="0C904037" w:rsidR="00310136" w:rsidRPr="00310136" w:rsidRDefault="00310136" w:rsidP="00310136">
      <w:pPr>
        <w:jc w:val="right"/>
        <w:rPr>
          <w:b/>
          <w:bCs/>
        </w:rPr>
      </w:pPr>
      <w:r w:rsidRPr="00310136">
        <w:rPr>
          <w:b/>
          <w:bCs/>
        </w:rPr>
        <w:t>10 marks</w:t>
      </w:r>
    </w:p>
    <w:p w14:paraId="347BF5FF" w14:textId="5868B7E4" w:rsidR="00746CD7" w:rsidRDefault="00924B92" w:rsidP="00924B92">
      <w:pPr>
        <w:ind w:firstLine="720"/>
      </w:pPr>
      <w:r>
        <w:t>A</w:t>
      </w:r>
      <w:r w:rsidR="00746CD7">
        <w:t>nswer should cover the following:</w:t>
      </w:r>
    </w:p>
    <w:p w14:paraId="4CCEE4A6" w14:textId="6D640415" w:rsidR="00D1492D" w:rsidRDefault="00D1492D" w:rsidP="00D1492D">
      <w:pPr>
        <w:pStyle w:val="ListParagraph"/>
        <w:numPr>
          <w:ilvl w:val="0"/>
          <w:numId w:val="12"/>
        </w:numPr>
      </w:pPr>
      <w:r w:rsidRPr="00BE3D78">
        <w:t xml:space="preserve">The rise in </w:t>
      </w:r>
      <w:r w:rsidR="00BE3D78" w:rsidRPr="00BE3D78">
        <w:t>the welfare state</w:t>
      </w:r>
    </w:p>
    <w:p w14:paraId="30FD896C" w14:textId="13F04CC9" w:rsidR="00BE3D78" w:rsidRDefault="00BE3D78" w:rsidP="00D1492D">
      <w:pPr>
        <w:pStyle w:val="ListParagraph"/>
        <w:numPr>
          <w:ilvl w:val="0"/>
          <w:numId w:val="12"/>
        </w:numPr>
      </w:pPr>
      <w:r>
        <w:t>Affordability – cost of living</w:t>
      </w:r>
    </w:p>
    <w:p w14:paraId="7FE4805E" w14:textId="77777777" w:rsidR="006A2C68" w:rsidRDefault="00A616CF" w:rsidP="00D1492D">
      <w:pPr>
        <w:pStyle w:val="ListParagraph"/>
        <w:numPr>
          <w:ilvl w:val="0"/>
          <w:numId w:val="12"/>
        </w:numPr>
      </w:pPr>
      <w:r>
        <w:t>Prioritisation</w:t>
      </w:r>
      <w:r w:rsidR="006A2C68">
        <w:t xml:space="preserve"> of immediate needs over future needs</w:t>
      </w:r>
    </w:p>
    <w:p w14:paraId="06F54E59" w14:textId="77777777" w:rsidR="006A2C68" w:rsidRDefault="006A2C68" w:rsidP="00D1492D">
      <w:pPr>
        <w:pStyle w:val="ListParagraph"/>
        <w:numPr>
          <w:ilvl w:val="0"/>
          <w:numId w:val="12"/>
        </w:numPr>
      </w:pPr>
      <w:r>
        <w:t>Culture – ‘spend now, pay later’</w:t>
      </w:r>
    </w:p>
    <w:p w14:paraId="1A147ACB" w14:textId="77777777" w:rsidR="00CE454F" w:rsidRDefault="00CE454F" w:rsidP="00D1492D">
      <w:pPr>
        <w:pStyle w:val="ListParagraph"/>
        <w:numPr>
          <w:ilvl w:val="0"/>
          <w:numId w:val="12"/>
        </w:numPr>
      </w:pPr>
      <w:r>
        <w:t>Longevity resulting in longer periods of retirement</w:t>
      </w:r>
    </w:p>
    <w:p w14:paraId="5148B2FA" w14:textId="3ED981EE" w:rsidR="006F4F23" w:rsidRDefault="006F4F23" w:rsidP="00D1492D">
      <w:pPr>
        <w:pStyle w:val="ListParagraph"/>
        <w:numPr>
          <w:ilvl w:val="0"/>
          <w:numId w:val="12"/>
        </w:numPr>
      </w:pPr>
      <w:r>
        <w:t>Long term investments not producing the returns forecasted</w:t>
      </w:r>
    </w:p>
    <w:p w14:paraId="26BFE319" w14:textId="77777777" w:rsidR="00E617C9" w:rsidRDefault="004679CD" w:rsidP="00D1492D">
      <w:pPr>
        <w:pStyle w:val="ListParagraph"/>
        <w:numPr>
          <w:ilvl w:val="0"/>
          <w:numId w:val="12"/>
        </w:numPr>
      </w:pPr>
      <w:r>
        <w:t>Not making rational decisions about long-term savings, particularly low earners</w:t>
      </w:r>
    </w:p>
    <w:p w14:paraId="337A606E" w14:textId="77777777" w:rsidR="00AD2C61" w:rsidRDefault="00E617C9" w:rsidP="00D1492D">
      <w:pPr>
        <w:pStyle w:val="ListParagraph"/>
        <w:numPr>
          <w:ilvl w:val="0"/>
          <w:numId w:val="12"/>
        </w:numPr>
      </w:pPr>
      <w:r>
        <w:lastRenderedPageBreak/>
        <w:t>Complexity of the UK State and private pension system</w:t>
      </w:r>
    </w:p>
    <w:p w14:paraId="04BE6462" w14:textId="308015FC" w:rsidR="00BE3D78" w:rsidRPr="00BE3D78" w:rsidRDefault="00AD2C61" w:rsidP="00D2490A">
      <w:pPr>
        <w:pStyle w:val="ListParagraph"/>
        <w:numPr>
          <w:ilvl w:val="0"/>
          <w:numId w:val="12"/>
        </w:numPr>
      </w:pPr>
      <w:r>
        <w:t>Covid-19 pandemic putting extra financial pressure on the economy and individuals</w:t>
      </w:r>
    </w:p>
    <w:p w14:paraId="7F383026" w14:textId="2A3C6806" w:rsidR="00A25AD5" w:rsidRDefault="00A25AD5" w:rsidP="00924B92">
      <w:pPr>
        <w:ind w:firstLine="720"/>
      </w:pPr>
      <w:r>
        <w:t xml:space="preserve">(Relevant section of the manual is Part 1 Chapter </w:t>
      </w:r>
      <w:r w:rsidR="003463E9">
        <w:t>2.1.1</w:t>
      </w:r>
      <w:r w:rsidR="00310136">
        <w:t>)</w:t>
      </w:r>
    </w:p>
    <w:p w14:paraId="12028E91" w14:textId="77777777" w:rsidR="004F671C" w:rsidRDefault="004F671C" w:rsidP="003928A3">
      <w:pPr>
        <w:rPr>
          <w:b/>
          <w:bCs/>
        </w:rPr>
      </w:pPr>
    </w:p>
    <w:p w14:paraId="66E0AE89" w14:textId="4461945D" w:rsidR="00D71B4B" w:rsidRPr="00924B92" w:rsidRDefault="00161141" w:rsidP="00924B9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Provide details of the changes brought by the Pensions Act 2007 </w:t>
      </w:r>
      <w:r w:rsidR="00516F03">
        <w:rPr>
          <w:b/>
          <w:bCs/>
        </w:rPr>
        <w:t xml:space="preserve">in relation to State pensions. </w:t>
      </w:r>
    </w:p>
    <w:p w14:paraId="3DE1B0D3" w14:textId="14C6C3B3" w:rsidR="00940707" w:rsidRPr="003928A3" w:rsidRDefault="00940707" w:rsidP="004F671C">
      <w:pPr>
        <w:jc w:val="right"/>
        <w:rPr>
          <w:b/>
          <w:bCs/>
        </w:rPr>
      </w:pPr>
      <w:r>
        <w:rPr>
          <w:b/>
          <w:bCs/>
        </w:rPr>
        <w:t xml:space="preserve">5 </w:t>
      </w:r>
      <w:r w:rsidR="00867F2B">
        <w:rPr>
          <w:b/>
          <w:bCs/>
        </w:rPr>
        <w:t>m</w:t>
      </w:r>
      <w:r>
        <w:rPr>
          <w:b/>
          <w:bCs/>
        </w:rPr>
        <w:t>arks</w:t>
      </w:r>
    </w:p>
    <w:p w14:paraId="4892F2BD" w14:textId="3F892901" w:rsidR="003928A3" w:rsidRDefault="00924B92" w:rsidP="00924B92">
      <w:pPr>
        <w:ind w:firstLine="720"/>
      </w:pPr>
      <w:r>
        <w:t>A</w:t>
      </w:r>
      <w:r w:rsidR="003928A3">
        <w:t>nswer should cover the following:</w:t>
      </w:r>
    </w:p>
    <w:p w14:paraId="16ECE9E6" w14:textId="68B55627" w:rsidR="00516F03" w:rsidRDefault="00C9754C" w:rsidP="00516F03">
      <w:pPr>
        <w:pStyle w:val="ListParagraph"/>
        <w:numPr>
          <w:ilvl w:val="0"/>
          <w:numId w:val="13"/>
        </w:numPr>
      </w:pPr>
      <w:r w:rsidRPr="00C9754C">
        <w:t>Changes to eligibility for the Basic State Pension</w:t>
      </w:r>
      <w:r w:rsidR="00831822">
        <w:t xml:space="preserve"> from 6 April 2010</w:t>
      </w:r>
    </w:p>
    <w:p w14:paraId="0FB704EA" w14:textId="134E3320" w:rsidR="00831822" w:rsidRDefault="00831822" w:rsidP="00516F03">
      <w:pPr>
        <w:pStyle w:val="ListParagraph"/>
        <w:numPr>
          <w:ilvl w:val="0"/>
          <w:numId w:val="13"/>
        </w:numPr>
      </w:pPr>
      <w:r>
        <w:t xml:space="preserve">Linking BSP increases to </w:t>
      </w:r>
      <w:r w:rsidR="008F7195">
        <w:t xml:space="preserve">average </w:t>
      </w:r>
      <w:r>
        <w:t>earnings</w:t>
      </w:r>
      <w:r w:rsidR="00246A96">
        <w:t xml:space="preserve"> – Triple lock</w:t>
      </w:r>
    </w:p>
    <w:p w14:paraId="4D57CCA5" w14:textId="5A4E0377" w:rsidR="00831822" w:rsidRDefault="00831822" w:rsidP="00516F03">
      <w:pPr>
        <w:pStyle w:val="ListParagraph"/>
        <w:numPr>
          <w:ilvl w:val="0"/>
          <w:numId w:val="13"/>
        </w:numPr>
      </w:pPr>
      <w:r>
        <w:t>Moving the S2P towards a flat rate</w:t>
      </w:r>
      <w:r w:rsidR="00246A96">
        <w:t xml:space="preserve"> – reduce in two stages</w:t>
      </w:r>
      <w:r w:rsidR="00275A94">
        <w:t>. Flat rate by 2030.</w:t>
      </w:r>
      <w:r w:rsidR="00E64228">
        <w:t xml:space="preserve"> Although subsequently removed altogether.</w:t>
      </w:r>
    </w:p>
    <w:p w14:paraId="196A23A7" w14:textId="652A9A6C" w:rsidR="004A0AB0" w:rsidRPr="00C9754C" w:rsidRDefault="004A0AB0" w:rsidP="00516F03">
      <w:pPr>
        <w:pStyle w:val="ListParagraph"/>
        <w:numPr>
          <w:ilvl w:val="0"/>
          <w:numId w:val="13"/>
        </w:numPr>
      </w:pPr>
      <w:r>
        <w:t>New state pension has now replaced the BSP and State Second Pension for those reaching SPA from April 2016</w:t>
      </w:r>
      <w:r w:rsidR="00B01662">
        <w:t xml:space="preserve">. The two previous types still relevant who reached SPA before April 2016. </w:t>
      </w:r>
    </w:p>
    <w:p w14:paraId="7E8630B2" w14:textId="1912F0C9" w:rsidR="00940707" w:rsidRDefault="00940707" w:rsidP="00AE254E">
      <w:pPr>
        <w:ind w:firstLine="360"/>
      </w:pPr>
      <w:r>
        <w:t xml:space="preserve">(Relevant section of the manual is Part 1 Chapter </w:t>
      </w:r>
      <w:r w:rsidR="00AE254E">
        <w:t>2.2</w:t>
      </w:r>
      <w:r w:rsidR="00BC50F6">
        <w:t>, 2.2.1 &amp; 2.2.2</w:t>
      </w:r>
      <w:r>
        <w:t>)</w:t>
      </w:r>
    </w:p>
    <w:p w14:paraId="264BA80F" w14:textId="6DAC2271" w:rsidR="00940707" w:rsidRDefault="00940707" w:rsidP="00940707"/>
    <w:p w14:paraId="7FB23565" w14:textId="175062DD" w:rsidR="00940707" w:rsidRPr="00924B92" w:rsidRDefault="008720CB" w:rsidP="00924B9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Pensions are just one form of pr</w:t>
      </w:r>
      <w:r w:rsidR="00DF3A9E">
        <w:rPr>
          <w:b/>
          <w:bCs/>
        </w:rPr>
        <w:t xml:space="preserve">oviding an income for individuals at retirement. Write some notes on how property </w:t>
      </w:r>
      <w:r w:rsidR="008A37DF">
        <w:rPr>
          <w:b/>
          <w:bCs/>
        </w:rPr>
        <w:t xml:space="preserve">could be used as a vehicle to top up their retirement income. </w:t>
      </w:r>
    </w:p>
    <w:p w14:paraId="72742763" w14:textId="62F85D6D" w:rsidR="00867F2B" w:rsidRDefault="00867F2B" w:rsidP="00867F2B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36DD183B" w14:textId="4F85277E" w:rsidR="00F5462C" w:rsidRDefault="00530BD4" w:rsidP="00924B92">
      <w:pPr>
        <w:ind w:firstLine="360"/>
      </w:pPr>
      <w:r>
        <w:t>A full answer should include an outline of the following</w:t>
      </w:r>
      <w:r w:rsidR="00F5462C">
        <w:t>:</w:t>
      </w:r>
    </w:p>
    <w:p w14:paraId="4248E91F" w14:textId="0C5CCF6B" w:rsidR="00F609CB" w:rsidRDefault="001031A2" w:rsidP="00F609CB">
      <w:pPr>
        <w:pStyle w:val="ListParagraph"/>
        <w:numPr>
          <w:ilvl w:val="0"/>
          <w:numId w:val="14"/>
        </w:numPr>
      </w:pPr>
      <w:r>
        <w:t>Buy to let</w:t>
      </w:r>
      <w:r w:rsidR="009800ED">
        <w:t xml:space="preserve"> – form of investment where you buy a property and rent out. </w:t>
      </w:r>
      <w:r w:rsidR="00A911BF">
        <w:t xml:space="preserve">One part of a more diversified strategy. </w:t>
      </w:r>
    </w:p>
    <w:p w14:paraId="5F8E0526" w14:textId="05EC51ED" w:rsidR="00A911BF" w:rsidRDefault="00A911BF" w:rsidP="00A911BF">
      <w:pPr>
        <w:pStyle w:val="ListParagraph"/>
        <w:ind w:left="1080"/>
      </w:pPr>
      <w:r>
        <w:t>Advantages</w:t>
      </w:r>
      <w:r w:rsidR="00120054">
        <w:t>: pre-agreed income; real-world appeal; good investment as house prices always rise</w:t>
      </w:r>
      <w:r w:rsidR="00961DAB">
        <w:t>, property boom.</w:t>
      </w:r>
    </w:p>
    <w:p w14:paraId="560FB7C1" w14:textId="6ADF91A5" w:rsidR="00961DAB" w:rsidRDefault="00961DAB" w:rsidP="00A911BF">
      <w:pPr>
        <w:pStyle w:val="ListParagraph"/>
        <w:ind w:left="1080"/>
      </w:pPr>
      <w:r>
        <w:t xml:space="preserve">Disadvantages: </w:t>
      </w:r>
      <w:r w:rsidR="00206BC2">
        <w:t xml:space="preserve">can go wrong due to lack of expertise, </w:t>
      </w:r>
      <w:r w:rsidR="00666534">
        <w:t xml:space="preserve">risk of rental voids, illiquid asset (not readily available if need immediate access), </w:t>
      </w:r>
      <w:r w:rsidR="00160EBD">
        <w:t>additional taxes</w:t>
      </w:r>
      <w:r w:rsidR="00AD0CB6">
        <w:t>, unintended costs</w:t>
      </w:r>
    </w:p>
    <w:p w14:paraId="40ED1953" w14:textId="3D8E9A0E" w:rsidR="00160EBD" w:rsidRDefault="00160EBD" w:rsidP="00160EBD">
      <w:pPr>
        <w:pStyle w:val="ListParagraph"/>
        <w:numPr>
          <w:ilvl w:val="0"/>
          <w:numId w:val="14"/>
        </w:numPr>
      </w:pPr>
      <w:r>
        <w:t>Principal Private Residence</w:t>
      </w:r>
    </w:p>
    <w:p w14:paraId="22B8DA36" w14:textId="42023F46" w:rsidR="00160EBD" w:rsidRDefault="00160EBD" w:rsidP="00160EBD">
      <w:pPr>
        <w:pStyle w:val="ListParagraph"/>
        <w:ind w:left="1080"/>
      </w:pPr>
      <w:r>
        <w:t xml:space="preserve">Downsizing </w:t>
      </w:r>
      <w:r w:rsidR="00EF1444">
        <w:t>–</w:t>
      </w:r>
      <w:r>
        <w:t xml:space="preserve"> </w:t>
      </w:r>
      <w:r w:rsidR="00EF1444">
        <w:t>sell the home to buy a cheaper property releasing capital to help fund retirement</w:t>
      </w:r>
    </w:p>
    <w:p w14:paraId="6B423505" w14:textId="29EE75A9" w:rsidR="00EF1444" w:rsidRDefault="00EF1444" w:rsidP="00160EBD">
      <w:pPr>
        <w:pStyle w:val="ListParagraph"/>
        <w:ind w:left="1080"/>
      </w:pPr>
      <w:r>
        <w:t xml:space="preserve">Equity release </w:t>
      </w:r>
      <w:r w:rsidR="005171FC">
        <w:t>–</w:t>
      </w:r>
      <w:r>
        <w:t xml:space="preserve"> </w:t>
      </w:r>
      <w:r w:rsidR="005171FC">
        <w:t>homeowners use their homes to generate a lump sum or regular income either with a loan secured on their home or by selling all or part of the property but continuing to live there.</w:t>
      </w:r>
    </w:p>
    <w:p w14:paraId="3C2497C1" w14:textId="6783C73D" w:rsidR="00DE4EB5" w:rsidRDefault="00DE4EB5" w:rsidP="00160EBD">
      <w:pPr>
        <w:pStyle w:val="ListParagraph"/>
        <w:ind w:left="1080"/>
      </w:pPr>
      <w:r>
        <w:t>Shares some downsides to Buy to Let but has the advantage that any increase to the value is not subject to CGT.</w:t>
      </w:r>
    </w:p>
    <w:p w14:paraId="457F6300" w14:textId="6EDED58E" w:rsidR="0048341D" w:rsidRDefault="0048341D" w:rsidP="0048341D">
      <w:pPr>
        <w:pStyle w:val="ListParagraph"/>
        <w:numPr>
          <w:ilvl w:val="0"/>
          <w:numId w:val="14"/>
        </w:numPr>
      </w:pPr>
      <w:r>
        <w:t xml:space="preserve">Self-Invested Personal </w:t>
      </w:r>
      <w:r w:rsidR="00173CC7">
        <w:t>Pensions (SIPPs)</w:t>
      </w:r>
    </w:p>
    <w:p w14:paraId="32C04A69" w14:textId="258326FB" w:rsidR="00173CC7" w:rsidRDefault="00173CC7" w:rsidP="00173CC7">
      <w:pPr>
        <w:pStyle w:val="ListParagraph"/>
        <w:ind w:left="1080"/>
      </w:pPr>
      <w:r>
        <w:t>Invest in commercial property</w:t>
      </w:r>
      <w:r w:rsidR="00841B36">
        <w:t xml:space="preserve"> – using a pension fund to invest in property.</w:t>
      </w:r>
    </w:p>
    <w:p w14:paraId="337B3DAE" w14:textId="77777777" w:rsidR="00F17C16" w:rsidRDefault="00F17C16" w:rsidP="00173CC7">
      <w:pPr>
        <w:pStyle w:val="ListParagraph"/>
        <w:ind w:left="1080"/>
      </w:pPr>
    </w:p>
    <w:p w14:paraId="3BAEE8BA" w14:textId="1CE13A01" w:rsidR="00311AF5" w:rsidRDefault="00311AF5" w:rsidP="00F17C16">
      <w:r>
        <w:t xml:space="preserve">(Relevant section of the manual is Part 1 Chapter </w:t>
      </w:r>
      <w:r w:rsidR="00FB5899">
        <w:t>2.3.4</w:t>
      </w:r>
      <w:r>
        <w:t>)</w:t>
      </w:r>
    </w:p>
    <w:p w14:paraId="6AB73581" w14:textId="77777777" w:rsidR="00486D4A" w:rsidRDefault="00486D4A" w:rsidP="00311AF5">
      <w:pPr>
        <w:ind w:left="360"/>
        <w:rPr>
          <w:b/>
          <w:bCs/>
        </w:rPr>
      </w:pPr>
    </w:p>
    <w:p w14:paraId="57777217" w14:textId="77777777" w:rsidR="00486D4A" w:rsidRDefault="00486D4A" w:rsidP="00311AF5">
      <w:pPr>
        <w:ind w:left="360"/>
        <w:rPr>
          <w:b/>
          <w:bCs/>
        </w:rPr>
      </w:pPr>
    </w:p>
    <w:p w14:paraId="6D2EA47E" w14:textId="77777777" w:rsidR="005E7FC4" w:rsidRDefault="005E7FC4" w:rsidP="005E7FC4">
      <w:pPr>
        <w:rPr>
          <w:b/>
          <w:bCs/>
        </w:rPr>
      </w:pPr>
    </w:p>
    <w:p w14:paraId="481A7057" w14:textId="39548D00" w:rsidR="00995E17" w:rsidRDefault="00995E17" w:rsidP="00995E17">
      <w:pPr>
        <w:ind w:left="720"/>
      </w:pPr>
    </w:p>
    <w:p w14:paraId="7BB21934" w14:textId="0BAF33E2" w:rsidR="00995E17" w:rsidRPr="00924B92" w:rsidRDefault="00CD7E2C" w:rsidP="00924B92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>
        <w:rPr>
          <w:b/>
          <w:bCs/>
        </w:rPr>
        <w:t>In relation to occupational pension schemes, list the basic structure of the disclosure regulations.</w:t>
      </w:r>
    </w:p>
    <w:p w14:paraId="14B9D665" w14:textId="4BCF74FD" w:rsidR="00DC5AA3" w:rsidRDefault="00DC5AA3" w:rsidP="00DC5AA3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7A006B75" w14:textId="104D24D4" w:rsidR="00DC5AA3" w:rsidRDefault="00924B92" w:rsidP="00924B92">
      <w:pPr>
        <w:ind w:firstLine="360"/>
      </w:pPr>
      <w:r>
        <w:t>A</w:t>
      </w:r>
      <w:r w:rsidR="00DC5AA3">
        <w:t>nswer should cover the following:</w:t>
      </w:r>
    </w:p>
    <w:p w14:paraId="7650FCDE" w14:textId="2FD85124" w:rsidR="00CD7E2C" w:rsidRDefault="00B04B04" w:rsidP="00DC5AA3">
      <w:pPr>
        <w:pStyle w:val="ListParagraph"/>
        <w:numPr>
          <w:ilvl w:val="0"/>
          <w:numId w:val="8"/>
        </w:numPr>
      </w:pPr>
      <w:r>
        <w:t>Basic information to all members on joining and updated when changes</w:t>
      </w:r>
    </w:p>
    <w:p w14:paraId="18ADAD32" w14:textId="5D1609B1" w:rsidR="00B04B04" w:rsidRDefault="00A211D7" w:rsidP="00DC5AA3">
      <w:pPr>
        <w:pStyle w:val="ListParagraph"/>
        <w:numPr>
          <w:ilvl w:val="0"/>
          <w:numId w:val="8"/>
        </w:numPr>
      </w:pPr>
      <w:r>
        <w:t>Formal scheme documentation and certain actuarial information on request</w:t>
      </w:r>
    </w:p>
    <w:p w14:paraId="317EB7B9" w14:textId="1F12844F" w:rsidR="00A211D7" w:rsidRDefault="00437F7A" w:rsidP="00DC5AA3">
      <w:pPr>
        <w:pStyle w:val="ListParagraph"/>
        <w:numPr>
          <w:ilvl w:val="0"/>
          <w:numId w:val="8"/>
        </w:numPr>
      </w:pPr>
      <w:r>
        <w:t>Trustees report annually and made available upon request</w:t>
      </w:r>
    </w:p>
    <w:p w14:paraId="246AA058" w14:textId="7DF2B275" w:rsidR="00437F7A" w:rsidRDefault="002B011F" w:rsidP="00DC5AA3">
      <w:pPr>
        <w:pStyle w:val="ListParagraph"/>
        <w:numPr>
          <w:ilvl w:val="0"/>
          <w:numId w:val="8"/>
        </w:numPr>
      </w:pPr>
      <w:r>
        <w:t>Information on l</w:t>
      </w:r>
      <w:r w:rsidR="00437F7A">
        <w:t>eav</w:t>
      </w:r>
      <w:r>
        <w:t>ing</w:t>
      </w:r>
      <w:r w:rsidR="00437F7A">
        <w:t xml:space="preserve"> or retir</w:t>
      </w:r>
      <w:r>
        <w:t>ing</w:t>
      </w:r>
    </w:p>
    <w:p w14:paraId="62B54091" w14:textId="0DF4037B" w:rsidR="002B011F" w:rsidRDefault="00A81105" w:rsidP="00DC5AA3">
      <w:pPr>
        <w:pStyle w:val="ListParagraph"/>
        <w:numPr>
          <w:ilvl w:val="0"/>
          <w:numId w:val="8"/>
        </w:numPr>
      </w:pPr>
      <w:r>
        <w:t>Summary funding statement to all members annually – non-</w:t>
      </w:r>
      <w:r w:rsidR="0050658F">
        <w:t>money purchase benefits</w:t>
      </w:r>
    </w:p>
    <w:p w14:paraId="65364AB1" w14:textId="69E33B67" w:rsidR="0050658F" w:rsidRDefault="0050658F" w:rsidP="00DC5AA3">
      <w:pPr>
        <w:pStyle w:val="ListParagraph"/>
        <w:numPr>
          <w:ilvl w:val="0"/>
          <w:numId w:val="8"/>
        </w:numPr>
      </w:pPr>
      <w:r>
        <w:t>Annual benefit statements automatically to members with money-purchase benefits</w:t>
      </w:r>
      <w:r w:rsidR="00244742">
        <w:t>, on request to non-money purchase benefits</w:t>
      </w:r>
    </w:p>
    <w:p w14:paraId="4D6ADC99" w14:textId="0F5F917A" w:rsidR="00244742" w:rsidRDefault="00244742" w:rsidP="00DC5AA3">
      <w:pPr>
        <w:pStyle w:val="ListParagraph"/>
        <w:numPr>
          <w:ilvl w:val="0"/>
          <w:numId w:val="8"/>
        </w:numPr>
      </w:pPr>
      <w:r>
        <w:t>Large pension benefits – annual pension savings statements</w:t>
      </w:r>
    </w:p>
    <w:p w14:paraId="4122C73B" w14:textId="177E4D43" w:rsidR="00A81105" w:rsidRDefault="00664812" w:rsidP="00DC5AA3">
      <w:pPr>
        <w:pStyle w:val="ListParagraph"/>
        <w:numPr>
          <w:ilvl w:val="0"/>
          <w:numId w:val="8"/>
        </w:numPr>
      </w:pPr>
      <w:r>
        <w:t>Benefit crystallisation events, the lifetime allowance used up</w:t>
      </w:r>
    </w:p>
    <w:p w14:paraId="6366B0D2" w14:textId="5F019FFE" w:rsidR="00664812" w:rsidRDefault="006B631C" w:rsidP="00DC5AA3">
      <w:pPr>
        <w:pStyle w:val="ListParagraph"/>
        <w:numPr>
          <w:ilvl w:val="0"/>
          <w:numId w:val="8"/>
        </w:numPr>
      </w:pPr>
      <w:r>
        <w:t>Information on specific events such as winding up</w:t>
      </w:r>
    </w:p>
    <w:p w14:paraId="2BC39092" w14:textId="6EC52640" w:rsidR="006B631C" w:rsidRDefault="006B631C" w:rsidP="00DC5AA3">
      <w:pPr>
        <w:pStyle w:val="ListParagraph"/>
        <w:numPr>
          <w:ilvl w:val="0"/>
          <w:numId w:val="8"/>
        </w:numPr>
      </w:pPr>
      <w:r>
        <w:t>Wishes to transfer safeguarded benefits</w:t>
      </w:r>
      <w:r w:rsidR="00D46049">
        <w:t xml:space="preserve"> over £30,000, must be informed to take independent advice</w:t>
      </w:r>
    </w:p>
    <w:p w14:paraId="2A8D7A8D" w14:textId="28DE6F9F" w:rsidR="00D46049" w:rsidRDefault="00E005AE" w:rsidP="00DC5AA3">
      <w:pPr>
        <w:pStyle w:val="ListParagraph"/>
        <w:numPr>
          <w:ilvl w:val="0"/>
          <w:numId w:val="8"/>
        </w:numPr>
      </w:pPr>
      <w:r>
        <w:t>Flexibly access benefits – trustees must refer them to Pension Wise</w:t>
      </w:r>
    </w:p>
    <w:p w14:paraId="7BF662AC" w14:textId="7C0042FD" w:rsidR="00C07E2C" w:rsidRDefault="009C4849" w:rsidP="00C3643A">
      <w:pPr>
        <w:ind w:left="360"/>
      </w:pPr>
      <w:r>
        <w:t>(Relevant section of the manual is Part 1 Chapter 2.</w:t>
      </w:r>
      <w:r w:rsidR="00E005AE">
        <w:t>4.2</w:t>
      </w:r>
      <w:r>
        <w:t>)</w:t>
      </w:r>
    </w:p>
    <w:p w14:paraId="1173FCDD" w14:textId="77777777" w:rsidR="00C07E2C" w:rsidRDefault="00C07E2C" w:rsidP="009C4849">
      <w:pPr>
        <w:ind w:left="360"/>
      </w:pPr>
    </w:p>
    <w:p w14:paraId="58EDDC31" w14:textId="71F86F1C" w:rsidR="009C4849" w:rsidRPr="00924B92" w:rsidRDefault="00C3643A" w:rsidP="00924B9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In relation to pensions, when must an individual or company be authorised by a regulator and outline when authorisation is not required.</w:t>
      </w:r>
    </w:p>
    <w:p w14:paraId="462945D8" w14:textId="1AAE20D4" w:rsidR="00E85DF7" w:rsidRDefault="00C3643A" w:rsidP="00E85DF7">
      <w:pPr>
        <w:ind w:left="360"/>
        <w:jc w:val="right"/>
        <w:rPr>
          <w:b/>
          <w:bCs/>
        </w:rPr>
      </w:pPr>
      <w:r>
        <w:rPr>
          <w:b/>
          <w:bCs/>
        </w:rPr>
        <w:t>10</w:t>
      </w:r>
      <w:r w:rsidR="00E85DF7">
        <w:rPr>
          <w:b/>
          <w:bCs/>
        </w:rPr>
        <w:t xml:space="preserve"> marks</w:t>
      </w:r>
    </w:p>
    <w:p w14:paraId="76F08BA9" w14:textId="695113C4" w:rsidR="00F026BE" w:rsidRDefault="00F026BE" w:rsidP="00F026BE">
      <w:pPr>
        <w:ind w:firstLine="360"/>
      </w:pPr>
      <w:r>
        <w:t>Answer should cover the following:</w:t>
      </w:r>
    </w:p>
    <w:p w14:paraId="66702DFA" w14:textId="34D9C25D" w:rsidR="004B4F09" w:rsidRDefault="004B4F09" w:rsidP="00F026BE">
      <w:pPr>
        <w:ind w:firstLine="360"/>
      </w:pPr>
      <w:r>
        <w:t>Authorisation required:</w:t>
      </w:r>
    </w:p>
    <w:p w14:paraId="1FFAC377" w14:textId="77777777" w:rsidR="007D103B" w:rsidRDefault="007D103B" w:rsidP="00E85DF7">
      <w:pPr>
        <w:pStyle w:val="ListParagraph"/>
        <w:numPr>
          <w:ilvl w:val="0"/>
          <w:numId w:val="10"/>
        </w:numPr>
      </w:pPr>
      <w:r>
        <w:t>Give advice on; or</w:t>
      </w:r>
    </w:p>
    <w:p w14:paraId="459EB11A" w14:textId="77777777" w:rsidR="007D103B" w:rsidRDefault="007D103B" w:rsidP="00E85DF7">
      <w:pPr>
        <w:pStyle w:val="ListParagraph"/>
        <w:numPr>
          <w:ilvl w:val="0"/>
          <w:numId w:val="10"/>
        </w:numPr>
      </w:pPr>
      <w:r>
        <w:t>Arrange transactions; or</w:t>
      </w:r>
    </w:p>
    <w:p w14:paraId="533E2CAE" w14:textId="77777777" w:rsidR="007D103B" w:rsidRDefault="007D103B" w:rsidP="00E85DF7">
      <w:pPr>
        <w:pStyle w:val="ListParagraph"/>
        <w:numPr>
          <w:ilvl w:val="0"/>
          <w:numId w:val="10"/>
        </w:numPr>
      </w:pPr>
      <w:r>
        <w:t>Deal in; or</w:t>
      </w:r>
    </w:p>
    <w:p w14:paraId="1AE35651" w14:textId="77777777" w:rsidR="007E75A8" w:rsidRDefault="007D103B" w:rsidP="00E85DF7">
      <w:pPr>
        <w:pStyle w:val="ListParagraph"/>
        <w:numPr>
          <w:ilvl w:val="0"/>
          <w:numId w:val="10"/>
        </w:numPr>
      </w:pPr>
      <w:r>
        <w:t>Manage</w:t>
      </w:r>
      <w:r w:rsidR="0015473C">
        <w:t xml:space="preserve"> certain products such as insurance policies, </w:t>
      </w:r>
      <w:r w:rsidR="008E7BEC">
        <w:t>personal pension schemes, buy-outs and freestanding additional voluntary contributions and other long</w:t>
      </w:r>
      <w:r w:rsidR="007E75A8">
        <w:t>-term assurance products</w:t>
      </w:r>
    </w:p>
    <w:p w14:paraId="19B8930C" w14:textId="2D3F22F2" w:rsidR="00E85DF7" w:rsidRPr="00E85DF7" w:rsidRDefault="007E75A8" w:rsidP="00E85DF7">
      <w:pPr>
        <w:pStyle w:val="ListParagraph"/>
        <w:numPr>
          <w:ilvl w:val="0"/>
          <w:numId w:val="10"/>
        </w:numPr>
      </w:pPr>
      <w:r>
        <w:t>Additional Voluntary Contributions</w:t>
      </w:r>
    </w:p>
    <w:p w14:paraId="2BE828D0" w14:textId="77777777" w:rsidR="007E75A8" w:rsidRDefault="007E75A8" w:rsidP="00E85DF7">
      <w:pPr>
        <w:pStyle w:val="ListParagraph"/>
        <w:numPr>
          <w:ilvl w:val="0"/>
          <w:numId w:val="9"/>
        </w:numPr>
      </w:pPr>
      <w:r>
        <w:t>Investment options in pension schemes</w:t>
      </w:r>
    </w:p>
    <w:p w14:paraId="01356E76" w14:textId="77777777" w:rsidR="004B4F09" w:rsidRDefault="004B4F09" w:rsidP="00E85DF7">
      <w:pPr>
        <w:pStyle w:val="ListParagraph"/>
        <w:numPr>
          <w:ilvl w:val="0"/>
          <w:numId w:val="9"/>
        </w:numPr>
      </w:pPr>
      <w:r>
        <w:t>Group life assurance policies</w:t>
      </w:r>
    </w:p>
    <w:p w14:paraId="2F2C3AB4" w14:textId="40925D81" w:rsidR="004B4F09" w:rsidRDefault="004B4F09" w:rsidP="003F31A8">
      <w:pPr>
        <w:pStyle w:val="ListParagraph"/>
        <w:numPr>
          <w:ilvl w:val="0"/>
          <w:numId w:val="9"/>
        </w:numPr>
      </w:pPr>
      <w:r>
        <w:t>Group permanent health insurance or income protection policies.</w:t>
      </w:r>
    </w:p>
    <w:p w14:paraId="54B0936D" w14:textId="0D470660" w:rsidR="004B4F09" w:rsidRDefault="004B4F09" w:rsidP="0052182E">
      <w:pPr>
        <w:ind w:left="360"/>
      </w:pPr>
      <w:r>
        <w:t>Authorisation not required</w:t>
      </w:r>
    </w:p>
    <w:p w14:paraId="78CC5C06" w14:textId="3C39F70B" w:rsidR="002B2646" w:rsidRDefault="002B2646" w:rsidP="002B2646">
      <w:pPr>
        <w:pStyle w:val="ListParagraph"/>
        <w:numPr>
          <w:ilvl w:val="0"/>
          <w:numId w:val="15"/>
        </w:numPr>
      </w:pPr>
      <w:r>
        <w:t xml:space="preserve">Advise on, </w:t>
      </w:r>
      <w:proofErr w:type="gramStart"/>
      <w:r>
        <w:t>arrange</w:t>
      </w:r>
      <w:proofErr w:type="gramEnd"/>
      <w:r>
        <w:t xml:space="preserve"> or provide non-financial products and or services.</w:t>
      </w:r>
    </w:p>
    <w:p w14:paraId="16C74314" w14:textId="4C101FD5" w:rsidR="00394DF7" w:rsidRDefault="00394DF7" w:rsidP="002B2646">
      <w:pPr>
        <w:pStyle w:val="ListParagraph"/>
        <w:numPr>
          <w:ilvl w:val="0"/>
          <w:numId w:val="15"/>
        </w:numPr>
      </w:pPr>
      <w:r>
        <w:lastRenderedPageBreak/>
        <w:t>Invest in one’s own money</w:t>
      </w:r>
    </w:p>
    <w:p w14:paraId="21A1FD95" w14:textId="0FC7151E" w:rsidR="00394DF7" w:rsidRDefault="009F7EFE" w:rsidP="00394DF7">
      <w:r>
        <w:t>In May 2006 the FSA published some format ‘perimeter guidance’ setting out what required authorisation and what did not. In September 2017, the FCA and Pensions Regulator published a factsheet to help employers and trustees</w:t>
      </w:r>
      <w:r w:rsidR="00036041">
        <w:t xml:space="preserve"> can provide on financial matter without overstepping the boundary.</w:t>
      </w:r>
    </w:p>
    <w:p w14:paraId="21663782" w14:textId="0A0953D9" w:rsidR="0052182E" w:rsidRDefault="0052182E" w:rsidP="0052182E">
      <w:pPr>
        <w:ind w:left="360"/>
      </w:pPr>
      <w:r>
        <w:t>(Relevant section of the manual is Part 1 Chapter 2.4.</w:t>
      </w:r>
      <w:r w:rsidR="00036041">
        <w:t>5</w:t>
      </w:r>
      <w:r>
        <w:t>)</w:t>
      </w:r>
    </w:p>
    <w:p w14:paraId="79AA9D2B" w14:textId="77777777" w:rsidR="009C4849" w:rsidRPr="002455CA" w:rsidRDefault="009C4849" w:rsidP="009C4849">
      <w:pPr>
        <w:ind w:left="360"/>
      </w:pPr>
    </w:p>
    <w:p w14:paraId="351989BC" w14:textId="0ADC068E" w:rsidR="00995E17" w:rsidRPr="00E96633" w:rsidRDefault="00995E17" w:rsidP="00995E17"/>
    <w:sectPr w:rsidR="00995E17" w:rsidRPr="00E9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0D9"/>
    <w:multiLevelType w:val="hybridMultilevel"/>
    <w:tmpl w:val="860AA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E24B7"/>
    <w:multiLevelType w:val="hybridMultilevel"/>
    <w:tmpl w:val="68D08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36CF9"/>
    <w:multiLevelType w:val="hybridMultilevel"/>
    <w:tmpl w:val="C004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337"/>
    <w:multiLevelType w:val="hybridMultilevel"/>
    <w:tmpl w:val="4CDE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51F6"/>
    <w:multiLevelType w:val="hybridMultilevel"/>
    <w:tmpl w:val="FDB6CE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744AB"/>
    <w:multiLevelType w:val="hybridMultilevel"/>
    <w:tmpl w:val="87183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931F1"/>
    <w:multiLevelType w:val="hybridMultilevel"/>
    <w:tmpl w:val="4F40B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A651F"/>
    <w:multiLevelType w:val="hybridMultilevel"/>
    <w:tmpl w:val="65D4F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25CBC"/>
    <w:multiLevelType w:val="hybridMultilevel"/>
    <w:tmpl w:val="CFEC4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14B69"/>
    <w:multiLevelType w:val="hybridMultilevel"/>
    <w:tmpl w:val="0BA66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9467AF"/>
    <w:multiLevelType w:val="hybridMultilevel"/>
    <w:tmpl w:val="FB2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3C80"/>
    <w:multiLevelType w:val="hybridMultilevel"/>
    <w:tmpl w:val="56BCC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37F6F"/>
    <w:multiLevelType w:val="hybridMultilevel"/>
    <w:tmpl w:val="385A3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B90563"/>
    <w:multiLevelType w:val="hybridMultilevel"/>
    <w:tmpl w:val="BD3C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6693A"/>
    <w:multiLevelType w:val="hybridMultilevel"/>
    <w:tmpl w:val="5D04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D7"/>
    <w:rsid w:val="00036041"/>
    <w:rsid w:val="00044335"/>
    <w:rsid w:val="00050A02"/>
    <w:rsid w:val="0005248E"/>
    <w:rsid w:val="0008573F"/>
    <w:rsid w:val="000B0280"/>
    <w:rsid w:val="000D574C"/>
    <w:rsid w:val="000F529B"/>
    <w:rsid w:val="00102151"/>
    <w:rsid w:val="00102642"/>
    <w:rsid w:val="001031A2"/>
    <w:rsid w:val="00120054"/>
    <w:rsid w:val="00120E4D"/>
    <w:rsid w:val="00140EF5"/>
    <w:rsid w:val="001537EC"/>
    <w:rsid w:val="0015473C"/>
    <w:rsid w:val="00160EBD"/>
    <w:rsid w:val="00161141"/>
    <w:rsid w:val="00173CC7"/>
    <w:rsid w:val="001B0FA0"/>
    <w:rsid w:val="001B287C"/>
    <w:rsid w:val="00206BC2"/>
    <w:rsid w:val="00222CF4"/>
    <w:rsid w:val="00244742"/>
    <w:rsid w:val="002455CA"/>
    <w:rsid w:val="00246A96"/>
    <w:rsid w:val="00256144"/>
    <w:rsid w:val="002624E0"/>
    <w:rsid w:val="00275A94"/>
    <w:rsid w:val="002916A0"/>
    <w:rsid w:val="00297A77"/>
    <w:rsid w:val="002B011F"/>
    <w:rsid w:val="002B2646"/>
    <w:rsid w:val="002B32F6"/>
    <w:rsid w:val="00310136"/>
    <w:rsid w:val="00311AF5"/>
    <w:rsid w:val="003463E9"/>
    <w:rsid w:val="003649DB"/>
    <w:rsid w:val="00374139"/>
    <w:rsid w:val="003928A3"/>
    <w:rsid w:val="00394DF7"/>
    <w:rsid w:val="003C4269"/>
    <w:rsid w:val="003F2CB7"/>
    <w:rsid w:val="003F31A8"/>
    <w:rsid w:val="00437F7A"/>
    <w:rsid w:val="00447CDA"/>
    <w:rsid w:val="004679CD"/>
    <w:rsid w:val="00470434"/>
    <w:rsid w:val="0048341D"/>
    <w:rsid w:val="00486D4A"/>
    <w:rsid w:val="004A0AB0"/>
    <w:rsid w:val="004B4F09"/>
    <w:rsid w:val="004D2B36"/>
    <w:rsid w:val="004F671C"/>
    <w:rsid w:val="0050658F"/>
    <w:rsid w:val="00516F03"/>
    <w:rsid w:val="005171FC"/>
    <w:rsid w:val="0052182E"/>
    <w:rsid w:val="00530BD4"/>
    <w:rsid w:val="0059265C"/>
    <w:rsid w:val="005B180F"/>
    <w:rsid w:val="005E7C5D"/>
    <w:rsid w:val="005E7FC4"/>
    <w:rsid w:val="005F786F"/>
    <w:rsid w:val="006077F6"/>
    <w:rsid w:val="00664812"/>
    <w:rsid w:val="00666534"/>
    <w:rsid w:val="006801C6"/>
    <w:rsid w:val="006A2C68"/>
    <w:rsid w:val="006B631C"/>
    <w:rsid w:val="006F4F23"/>
    <w:rsid w:val="007216D4"/>
    <w:rsid w:val="00746CD7"/>
    <w:rsid w:val="007559DA"/>
    <w:rsid w:val="00783424"/>
    <w:rsid w:val="0079632F"/>
    <w:rsid w:val="007B61BB"/>
    <w:rsid w:val="007D103B"/>
    <w:rsid w:val="007E4F2D"/>
    <w:rsid w:val="007E7054"/>
    <w:rsid w:val="007E75A8"/>
    <w:rsid w:val="0080428F"/>
    <w:rsid w:val="00817DAE"/>
    <w:rsid w:val="00831822"/>
    <w:rsid w:val="00841B36"/>
    <w:rsid w:val="00850B78"/>
    <w:rsid w:val="008553F1"/>
    <w:rsid w:val="00867F2B"/>
    <w:rsid w:val="008720CB"/>
    <w:rsid w:val="00877851"/>
    <w:rsid w:val="008A37DF"/>
    <w:rsid w:val="008E7BEC"/>
    <w:rsid w:val="008F7195"/>
    <w:rsid w:val="009056D6"/>
    <w:rsid w:val="00924B92"/>
    <w:rsid w:val="00940707"/>
    <w:rsid w:val="00961DAB"/>
    <w:rsid w:val="00967BC6"/>
    <w:rsid w:val="009800ED"/>
    <w:rsid w:val="0099210F"/>
    <w:rsid w:val="00995E17"/>
    <w:rsid w:val="009B0E47"/>
    <w:rsid w:val="009B73B1"/>
    <w:rsid w:val="009C4849"/>
    <w:rsid w:val="009D7580"/>
    <w:rsid w:val="009F7EFE"/>
    <w:rsid w:val="00A11FB8"/>
    <w:rsid w:val="00A15807"/>
    <w:rsid w:val="00A211D7"/>
    <w:rsid w:val="00A25AD5"/>
    <w:rsid w:val="00A616CF"/>
    <w:rsid w:val="00A75556"/>
    <w:rsid w:val="00A81105"/>
    <w:rsid w:val="00A911BF"/>
    <w:rsid w:val="00AB00F0"/>
    <w:rsid w:val="00AC76FF"/>
    <w:rsid w:val="00AD0CB6"/>
    <w:rsid w:val="00AD2C61"/>
    <w:rsid w:val="00AE254E"/>
    <w:rsid w:val="00B01662"/>
    <w:rsid w:val="00B04B04"/>
    <w:rsid w:val="00B732A2"/>
    <w:rsid w:val="00BC50F6"/>
    <w:rsid w:val="00BE3D78"/>
    <w:rsid w:val="00BF1371"/>
    <w:rsid w:val="00BF43F9"/>
    <w:rsid w:val="00C07E2C"/>
    <w:rsid w:val="00C3643A"/>
    <w:rsid w:val="00C4141F"/>
    <w:rsid w:val="00C81272"/>
    <w:rsid w:val="00C9754C"/>
    <w:rsid w:val="00CD7E2C"/>
    <w:rsid w:val="00CE454F"/>
    <w:rsid w:val="00D1492D"/>
    <w:rsid w:val="00D2490A"/>
    <w:rsid w:val="00D33006"/>
    <w:rsid w:val="00D46049"/>
    <w:rsid w:val="00D5279A"/>
    <w:rsid w:val="00D71B4B"/>
    <w:rsid w:val="00DA70F4"/>
    <w:rsid w:val="00DC5AA3"/>
    <w:rsid w:val="00DE0C87"/>
    <w:rsid w:val="00DE4EB5"/>
    <w:rsid w:val="00DF3A9E"/>
    <w:rsid w:val="00E005AE"/>
    <w:rsid w:val="00E617C9"/>
    <w:rsid w:val="00E64228"/>
    <w:rsid w:val="00E85DF7"/>
    <w:rsid w:val="00E96633"/>
    <w:rsid w:val="00EA7205"/>
    <w:rsid w:val="00EC7C65"/>
    <w:rsid w:val="00ED525A"/>
    <w:rsid w:val="00ED75EA"/>
    <w:rsid w:val="00ED7E96"/>
    <w:rsid w:val="00EF0CF2"/>
    <w:rsid w:val="00EF1444"/>
    <w:rsid w:val="00F026BE"/>
    <w:rsid w:val="00F17C16"/>
    <w:rsid w:val="00F37149"/>
    <w:rsid w:val="00F5462C"/>
    <w:rsid w:val="00F605CB"/>
    <w:rsid w:val="00F609CB"/>
    <w:rsid w:val="00FB5899"/>
    <w:rsid w:val="00FE622E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AE82"/>
  <w15:chartTrackingRefBased/>
  <w15:docId w15:val="{0CF68AFC-45A5-499A-89EC-F7B68E2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Spillings, Tara (Capita Experience Pension Solutions)</cp:lastModifiedBy>
  <cp:revision>2</cp:revision>
  <dcterms:created xsi:type="dcterms:W3CDTF">2022-10-20T20:18:00Z</dcterms:created>
  <dcterms:modified xsi:type="dcterms:W3CDTF">2022-10-20T20:18:00Z</dcterms:modified>
</cp:coreProperties>
</file>