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4E7C" w14:textId="2DBFBDB8" w:rsidR="00E728E9" w:rsidRPr="000803DD" w:rsidRDefault="000803DD">
      <w:pPr>
        <w:rPr>
          <w:rFonts w:ascii="Neue Haas Grotesk Text Pro" w:hAnsi="Neue Haas Grotesk Text Pro"/>
          <w:b/>
          <w:bCs/>
          <w:sz w:val="24"/>
          <w:szCs w:val="24"/>
        </w:rPr>
      </w:pPr>
      <w:r w:rsidRPr="000803DD">
        <w:rPr>
          <w:rFonts w:ascii="Neue Haas Grotesk Text Pro" w:hAnsi="Neue Haas Grotesk Text Pro"/>
          <w:b/>
          <w:bCs/>
          <w:sz w:val="24"/>
          <w:szCs w:val="24"/>
        </w:rPr>
        <w:t>ADRP Supplementary Learning Required for Spring 2022 Exam:</w:t>
      </w:r>
    </w:p>
    <w:p w14:paraId="14E7BFF2"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sz w:val="24"/>
          <w:szCs w:val="24"/>
          <w:lang w:eastAsia="en-GB"/>
        </w:rPr>
        <w:t>TPR is trying to improve professionalism across the sector and as such we are trying to improve professionalism across our Qualifications.</w:t>
      </w:r>
    </w:p>
    <w:p w14:paraId="19BB68C7"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sz w:val="24"/>
          <w:szCs w:val="24"/>
          <w:lang w:eastAsia="en-GB"/>
        </w:rPr>
        <w:t>As part of that process, you would ordinarily revise from the study manual for your upcoming exam and be asked questions that relate to only to that content. What we are now asking you to do is revise from the manual, but also study the topics stated in the links provided to you below, to better prepare you for your exam.</w:t>
      </w:r>
    </w:p>
    <w:p w14:paraId="45AF672B"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sz w:val="24"/>
          <w:szCs w:val="24"/>
          <w:lang w:eastAsia="en-GB"/>
        </w:rPr>
        <w:t>This will ensure that you develop your understanding of Professionalism and Governance further and how it relates to you in the sector, rather than studying verbatim from a manual that includes a more generic view. Our aim is to help you progress within the sector.</w:t>
      </w:r>
    </w:p>
    <w:p w14:paraId="7515C465"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sz w:val="24"/>
          <w:szCs w:val="24"/>
          <w:lang w:eastAsia="en-GB"/>
        </w:rPr>
        <w:t>With that in mind, please use the following helpful links to help you prepare for your exam:</w:t>
      </w:r>
    </w:p>
    <w:p w14:paraId="5F1C467C"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b/>
          <w:bCs/>
          <w:sz w:val="24"/>
          <w:szCs w:val="24"/>
          <w:lang w:eastAsia="en-GB"/>
        </w:rPr>
        <w:t>Liability Management:</w:t>
      </w:r>
    </w:p>
    <w:p w14:paraId="5AC8DD2F" w14:textId="77777777" w:rsidR="000803DD" w:rsidRPr="000803DD" w:rsidRDefault="000803DD" w:rsidP="000803DD">
      <w:pPr>
        <w:numPr>
          <w:ilvl w:val="0"/>
          <w:numId w:val="1"/>
        </w:numPr>
        <w:spacing w:before="100" w:beforeAutospacing="1" w:after="100" w:afterAutospacing="1" w:line="240" w:lineRule="auto"/>
        <w:ind w:left="1095"/>
        <w:rPr>
          <w:rFonts w:ascii="Neue Haas Grotesk Text Pro" w:eastAsia="Times New Roman" w:hAnsi="Neue Haas Grotesk Text Pro" w:cs="Times New Roman"/>
          <w:sz w:val="24"/>
          <w:szCs w:val="24"/>
          <w:lang w:eastAsia="en-GB"/>
        </w:rPr>
      </w:pPr>
      <w:hyperlink r:id="rId5" w:history="1">
        <w:r w:rsidRPr="000803DD">
          <w:rPr>
            <w:rFonts w:ascii="Neue Haas Grotesk Text Pro" w:eastAsia="Times New Roman" w:hAnsi="Neue Haas Grotesk Text Pro" w:cs="Times New Roman"/>
            <w:color w:val="337AB7"/>
            <w:sz w:val="24"/>
            <w:szCs w:val="24"/>
            <w:u w:val="single"/>
            <w:lang w:eastAsia="en-GB"/>
          </w:rPr>
          <w:t>https://www.lcp.uk.com/media/557951/lcp_liability_management_exercises_web.pdf</w:t>
        </w:r>
      </w:hyperlink>
    </w:p>
    <w:p w14:paraId="66DA419E" w14:textId="77777777" w:rsidR="000803DD" w:rsidRPr="000803DD" w:rsidRDefault="000803DD" w:rsidP="000803DD">
      <w:pPr>
        <w:numPr>
          <w:ilvl w:val="0"/>
          <w:numId w:val="1"/>
        </w:numPr>
        <w:spacing w:before="100" w:beforeAutospacing="1" w:after="100" w:afterAutospacing="1" w:line="240" w:lineRule="auto"/>
        <w:ind w:left="1095"/>
        <w:rPr>
          <w:rFonts w:ascii="Neue Haas Grotesk Text Pro" w:eastAsia="Times New Roman" w:hAnsi="Neue Haas Grotesk Text Pro" w:cs="Times New Roman"/>
          <w:sz w:val="24"/>
          <w:szCs w:val="24"/>
          <w:lang w:eastAsia="en-GB"/>
        </w:rPr>
      </w:pPr>
      <w:hyperlink r:id="rId6" w:history="1">
        <w:r w:rsidRPr="000803DD">
          <w:rPr>
            <w:rFonts w:ascii="Neue Haas Grotesk Text Pro" w:eastAsia="Times New Roman" w:hAnsi="Neue Haas Grotesk Text Pro" w:cs="Times New Roman"/>
            <w:color w:val="337AB7"/>
            <w:sz w:val="24"/>
            <w:szCs w:val="24"/>
            <w:u w:val="single"/>
            <w:lang w:eastAsia="en-GB"/>
          </w:rPr>
          <w:t>https://www.barnett-waddingham.co.uk/finance-directors-guide/liability-management-risk-reduction/liability-reduction-exercises/</w:t>
        </w:r>
      </w:hyperlink>
    </w:p>
    <w:p w14:paraId="5E1439AA" w14:textId="77777777" w:rsidR="000803DD" w:rsidRPr="000803DD" w:rsidRDefault="000803DD" w:rsidP="000803DD">
      <w:pPr>
        <w:numPr>
          <w:ilvl w:val="0"/>
          <w:numId w:val="1"/>
        </w:numPr>
        <w:spacing w:before="100" w:beforeAutospacing="1" w:after="100" w:afterAutospacing="1" w:line="240" w:lineRule="auto"/>
        <w:ind w:left="1095"/>
        <w:rPr>
          <w:rFonts w:ascii="Neue Haas Grotesk Text Pro" w:eastAsia="Times New Roman" w:hAnsi="Neue Haas Grotesk Text Pro" w:cs="Times New Roman"/>
          <w:sz w:val="24"/>
          <w:szCs w:val="24"/>
          <w:lang w:eastAsia="en-GB"/>
        </w:rPr>
      </w:pPr>
      <w:hyperlink r:id="rId7" w:history="1">
        <w:r w:rsidRPr="000803DD">
          <w:rPr>
            <w:rFonts w:ascii="Neue Haas Grotesk Text Pro" w:eastAsia="Times New Roman" w:hAnsi="Neue Haas Grotesk Text Pro" w:cs="Times New Roman"/>
            <w:color w:val="337AB7"/>
            <w:sz w:val="24"/>
            <w:szCs w:val="24"/>
            <w:u w:val="single"/>
            <w:lang w:eastAsia="en-GB"/>
          </w:rPr>
          <w:t>https://www.nortonrosefulbright.com/en/knowledge/publications/61853ffd/pensions-briefing---defined-benefit-scheme-liability-management-exercises</w:t>
        </w:r>
      </w:hyperlink>
    </w:p>
    <w:p w14:paraId="48F524D8" w14:textId="77777777" w:rsidR="000803DD" w:rsidRPr="000803DD" w:rsidRDefault="000803DD" w:rsidP="000803DD">
      <w:pPr>
        <w:numPr>
          <w:ilvl w:val="0"/>
          <w:numId w:val="1"/>
        </w:numPr>
        <w:spacing w:before="100" w:beforeAutospacing="1" w:after="100" w:afterAutospacing="1" w:line="240" w:lineRule="auto"/>
        <w:ind w:left="1095"/>
        <w:rPr>
          <w:rFonts w:ascii="Neue Haas Grotesk Text Pro" w:eastAsia="Times New Roman" w:hAnsi="Neue Haas Grotesk Text Pro" w:cs="Times New Roman"/>
          <w:sz w:val="24"/>
          <w:szCs w:val="24"/>
          <w:lang w:eastAsia="en-GB"/>
        </w:rPr>
      </w:pPr>
      <w:hyperlink r:id="rId8" w:history="1">
        <w:r w:rsidRPr="000803DD">
          <w:rPr>
            <w:rFonts w:ascii="Neue Haas Grotesk Text Pro" w:eastAsia="Times New Roman" w:hAnsi="Neue Haas Grotesk Text Pro" w:cs="Times New Roman"/>
            <w:color w:val="337AB7"/>
            <w:sz w:val="24"/>
            <w:szCs w:val="24"/>
            <w:u w:val="single"/>
            <w:lang w:eastAsia="en-GB"/>
          </w:rPr>
          <w:t>https://www2.deloitte.com/content/dam/Deloitte/uk/Documents/consultancy/deloitte-uk-pension-scheme-valuations-and-liability-management.pdf</w:t>
        </w:r>
      </w:hyperlink>
    </w:p>
    <w:p w14:paraId="7F93567F"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b/>
          <w:bCs/>
          <w:sz w:val="24"/>
          <w:szCs w:val="24"/>
          <w:lang w:eastAsia="en-GB"/>
        </w:rPr>
        <w:t>Impact of Pension scams on people:</w:t>
      </w:r>
    </w:p>
    <w:p w14:paraId="526A32C8" w14:textId="77777777" w:rsidR="000803DD" w:rsidRPr="000803DD" w:rsidRDefault="000803DD" w:rsidP="000803DD">
      <w:pPr>
        <w:numPr>
          <w:ilvl w:val="0"/>
          <w:numId w:val="2"/>
        </w:numPr>
        <w:spacing w:before="100" w:beforeAutospacing="1" w:after="100" w:afterAutospacing="1" w:line="240" w:lineRule="auto"/>
        <w:ind w:left="1095"/>
        <w:rPr>
          <w:rFonts w:ascii="Neue Haas Grotesk Text Pro" w:eastAsia="Times New Roman" w:hAnsi="Neue Haas Grotesk Text Pro" w:cs="Times New Roman"/>
          <w:sz w:val="24"/>
          <w:szCs w:val="24"/>
          <w:lang w:eastAsia="en-GB"/>
        </w:rPr>
      </w:pPr>
      <w:hyperlink r:id="rId9" w:history="1">
        <w:r w:rsidRPr="000803DD">
          <w:rPr>
            <w:rFonts w:ascii="Neue Haas Grotesk Text Pro" w:eastAsia="Times New Roman" w:hAnsi="Neue Haas Grotesk Text Pro" w:cs="Times New Roman"/>
            <w:color w:val="23527C"/>
            <w:sz w:val="24"/>
            <w:szCs w:val="24"/>
            <w:u w:val="single"/>
            <w:lang w:eastAsia="en-GB"/>
          </w:rPr>
          <w:t>https://www.thepensionsregulator.gov.uk/-/media/thepensionsregulator/files/import/pdf/16423_pensions_consumer_leaflet_screen.ashx</w:t>
        </w:r>
      </w:hyperlink>
    </w:p>
    <w:p w14:paraId="4F2B0B2E" w14:textId="77777777" w:rsidR="000803DD" w:rsidRPr="000803DD" w:rsidRDefault="000803DD" w:rsidP="000803DD">
      <w:pPr>
        <w:numPr>
          <w:ilvl w:val="0"/>
          <w:numId w:val="2"/>
        </w:numPr>
        <w:spacing w:before="100" w:beforeAutospacing="1" w:after="100" w:afterAutospacing="1" w:line="240" w:lineRule="auto"/>
        <w:ind w:left="1095"/>
        <w:rPr>
          <w:rFonts w:ascii="Neue Haas Grotesk Text Pro" w:eastAsia="Times New Roman" w:hAnsi="Neue Haas Grotesk Text Pro" w:cs="Times New Roman"/>
          <w:sz w:val="24"/>
          <w:szCs w:val="24"/>
          <w:lang w:eastAsia="en-GB"/>
        </w:rPr>
      </w:pPr>
      <w:hyperlink r:id="rId10" w:history="1">
        <w:r w:rsidRPr="000803DD">
          <w:rPr>
            <w:rFonts w:ascii="Neue Haas Grotesk Text Pro" w:eastAsia="Times New Roman" w:hAnsi="Neue Haas Grotesk Text Pro" w:cs="Times New Roman"/>
            <w:color w:val="337AB7"/>
            <w:sz w:val="24"/>
            <w:szCs w:val="24"/>
            <w:u w:val="single"/>
            <w:lang w:eastAsia="en-GB"/>
          </w:rPr>
          <w:t>https://www.fca.org.uk/scamsmart/how-avoid-pension-scams</w:t>
        </w:r>
      </w:hyperlink>
    </w:p>
    <w:p w14:paraId="4158CC76"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b/>
          <w:bCs/>
          <w:sz w:val="24"/>
          <w:szCs w:val="24"/>
          <w:lang w:eastAsia="en-GB"/>
        </w:rPr>
        <w:t>TPR:</w:t>
      </w:r>
    </w:p>
    <w:p w14:paraId="06A8A22A" w14:textId="77777777" w:rsidR="000803DD" w:rsidRPr="000803DD" w:rsidRDefault="000803DD" w:rsidP="000803DD">
      <w:pPr>
        <w:numPr>
          <w:ilvl w:val="0"/>
          <w:numId w:val="3"/>
        </w:numPr>
        <w:spacing w:before="100" w:beforeAutospacing="1" w:after="100" w:afterAutospacing="1" w:line="240" w:lineRule="auto"/>
        <w:ind w:left="1095"/>
        <w:rPr>
          <w:rFonts w:ascii="Neue Haas Grotesk Text Pro" w:eastAsia="Times New Roman" w:hAnsi="Neue Haas Grotesk Text Pro" w:cs="Times New Roman"/>
          <w:sz w:val="24"/>
          <w:szCs w:val="24"/>
          <w:lang w:eastAsia="en-GB"/>
        </w:rPr>
      </w:pPr>
      <w:hyperlink r:id="rId11" w:history="1">
        <w:r w:rsidRPr="000803DD">
          <w:rPr>
            <w:rFonts w:ascii="Neue Haas Grotesk Text Pro" w:eastAsia="Times New Roman" w:hAnsi="Neue Haas Grotesk Text Pro" w:cs="Times New Roman"/>
            <w:color w:val="337AB7"/>
            <w:sz w:val="24"/>
            <w:szCs w:val="24"/>
            <w:u w:val="single"/>
            <w:lang w:eastAsia="en-GB"/>
          </w:rPr>
          <w:t>https://www.thepensionsregulator.gov.uk/-/media/thepensionsregulator/files/import/pdf/incentive-exercises-industry-code-of-practice.ashx</w:t>
        </w:r>
      </w:hyperlink>
    </w:p>
    <w:p w14:paraId="0E61C9D4" w14:textId="77777777" w:rsidR="000803DD" w:rsidRPr="000803DD" w:rsidRDefault="000803DD" w:rsidP="000803DD">
      <w:pPr>
        <w:spacing w:after="150" w:line="240" w:lineRule="auto"/>
        <w:rPr>
          <w:rFonts w:ascii="Neue Haas Grotesk Text Pro" w:eastAsia="Times New Roman" w:hAnsi="Neue Haas Grotesk Text Pro" w:cs="Times New Roman"/>
          <w:sz w:val="24"/>
          <w:szCs w:val="24"/>
          <w:lang w:eastAsia="en-GB"/>
        </w:rPr>
      </w:pPr>
      <w:r w:rsidRPr="000803DD">
        <w:rPr>
          <w:rFonts w:ascii="Neue Haas Grotesk Text Pro" w:eastAsia="Times New Roman" w:hAnsi="Neue Haas Grotesk Text Pro" w:cs="Times New Roman"/>
          <w:sz w:val="24"/>
          <w:szCs w:val="24"/>
          <w:lang w:eastAsia="en-GB"/>
        </w:rPr>
        <w:t>Your information gathering from TPR should not rely too heavily on governance and technical experience should come in to play.</w:t>
      </w:r>
    </w:p>
    <w:p w14:paraId="4960B4EE" w14:textId="77777777" w:rsidR="000803DD" w:rsidRDefault="000803DD"/>
    <w:sectPr w:rsidR="00080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038"/>
    <w:multiLevelType w:val="multilevel"/>
    <w:tmpl w:val="2DC095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B3AA3"/>
    <w:multiLevelType w:val="multilevel"/>
    <w:tmpl w:val="82DA51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160C53"/>
    <w:multiLevelType w:val="multilevel"/>
    <w:tmpl w:val="EB48D4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7192074">
    <w:abstractNumId w:val="1"/>
  </w:num>
  <w:num w:numId="2" w16cid:durableId="719474021">
    <w:abstractNumId w:val="2"/>
  </w:num>
  <w:num w:numId="3" w16cid:durableId="134239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DD"/>
    <w:rsid w:val="000803DD"/>
    <w:rsid w:val="00E7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AABA"/>
  <w15:chartTrackingRefBased/>
  <w15:docId w15:val="{3211A821-319B-4FBD-BEC1-AC0CC59F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3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03DD"/>
    <w:rPr>
      <w:b/>
      <w:bCs/>
    </w:rPr>
  </w:style>
  <w:style w:type="character" w:styleId="Hyperlink">
    <w:name w:val="Hyperlink"/>
    <w:basedOn w:val="DefaultParagraphFont"/>
    <w:uiPriority w:val="99"/>
    <w:semiHidden/>
    <w:unhideWhenUsed/>
    <w:rsid w:val="00080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uk/Documents/consultancy/deloitte-uk-pension-scheme-valuations-and-liability-manag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protect.cudasvc.com/url?a=https%3a%2f%2fwww.nortonrosefulbright.com%2fen%2fknowledge%2fpublications%2f61853ffd%2fpensions-briefing---defined-benefit-scheme-liability-management-exercises&amp;c=E,1,_O3rhixxo2WEPo_CNyTpVFbi9x6nu2JDzrtMmzav8UTopj-cH1yzgJj15C9YAQF7aJVEbq5X5MjaBNQF-M2psGXlMqht4_w3BD6lxiQO5pbM5GdoO1qPBTpDqQ,,&amp;typ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www.barnett-waddingham.co.uk%2ffinance-directors-guide%2fliability-management-risk-reduction%2fliability-reduction-exercises%2f&amp;c=E,1,e4yinLEqp47e6ctqhntgTicigpg-glUVwdJQKveu9Zi280T3Q1ZCmy6n7SV4qvpV8IaS-StQwzGs-sKlk0phTAhjrobyrUkTB5IObulMgw,,&amp;typo=1" TargetMode="External"/><Relationship Id="rId11" Type="http://schemas.openxmlformats.org/officeDocument/2006/relationships/hyperlink" Target="https://linkprotect.cudasvc.com/url?a=https%3a%2f%2fwww.thepensionsregulator.gov.uk%2f-%2fmedia%2fthepensionsregulator%2ffiles%2fimport%2fpdf%2fincentive-exercises-industry-code-of-practice.ashx&amp;c=E,1,I5Ke7DJ9MWoIuHwqofM17laNxQEnV7HDgly4V6ayi4ytyudXM1uNCghxBbFHqieVxMJmzwlzEw_TxnShrcGuiUXM8d1mx5FDSRB64GN7iUxwcjivsCQr&amp;typo=1" TargetMode="External"/><Relationship Id="rId5" Type="http://schemas.openxmlformats.org/officeDocument/2006/relationships/hyperlink" Target="https://linkprotect.cudasvc.com/url?a=https%3a%2f%2fwww.lcp.uk.com%2fmedia%2f557951%2flcp_liability_management_exercises_web.pdf&amp;c=E,1,Z5Lj13IyoiBipupFz5XFjCE9NulLqOVoJY702iyLJqA9cqA8ZioMAVoEI4cuWfnnecC_h2VcOm91Flss1tMca_KGcEEvbbTmHJlADtZZDrmvLogKaKHWkT4p&amp;typo=1" TargetMode="External"/><Relationship Id="rId10" Type="http://schemas.openxmlformats.org/officeDocument/2006/relationships/hyperlink" Target="https://linkprotect.cudasvc.com/url?a=https%3a%2f%2fwww.fca.org.uk%2fscamsmart%2fhow-avoid-pension-scams&amp;c=E,1,5BlUJyLkIru-0UzwG2MUR8cc0V-58t0uM9PoYOZYnidBQxKFYLEzLvKgFdxTcQCLYXFCvlK06EE7gGIwocQgeo_Kkgj3QtdoHEOSGou5BvNhWpt0&amp;typo=1" TargetMode="External"/><Relationship Id="rId4" Type="http://schemas.openxmlformats.org/officeDocument/2006/relationships/webSettings" Target="webSettings.xml"/><Relationship Id="rId9" Type="http://schemas.openxmlformats.org/officeDocument/2006/relationships/hyperlink" Target="https://linkprotect.cudasvc.com/url?a=https%3a%2f%2fwww.thepensionsregulator.gov.uk%2f-%2fmedia%2fthepensionsregulator%2ffiles%2fimport%2fpdf%2f16423_pensions_consumer_leaflet_screen.ashx&amp;c=E,1,aIrf8rseoJh4vzAm25Qaj2DJ-O28W0t6Q41t-Yy882jB9c4fz2Dq1R632RuaWj-eUdjyO_NWFcv4_2BhfDoF0SFZHy6DXWMwScaWEOtd72NUQFM,&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Keith Hoodless</dc:creator>
  <cp:keywords/>
  <dc:description/>
  <cp:lastModifiedBy>Dr. Keith Hoodless</cp:lastModifiedBy>
  <cp:revision>1</cp:revision>
  <dcterms:created xsi:type="dcterms:W3CDTF">2022-04-27T10:26:00Z</dcterms:created>
  <dcterms:modified xsi:type="dcterms:W3CDTF">2022-04-27T10:27:00Z</dcterms:modified>
</cp:coreProperties>
</file>