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3E0AA" w14:textId="77777777" w:rsidR="005926DC" w:rsidRDefault="005926DC" w:rsidP="005926DC">
      <w:pPr>
        <w:spacing w:after="0"/>
        <w:jc w:val="right"/>
        <w:rPr>
          <w:b/>
          <w:bCs/>
          <w:lang w:val="en-US"/>
        </w:rPr>
      </w:pPr>
      <w:r>
        <w:rPr>
          <w:noProof/>
        </w:rPr>
        <w:drawing>
          <wp:anchor distT="0" distB="0" distL="114300" distR="114300" simplePos="0" relativeHeight="251659264" behindDoc="0" locked="0" layoutInCell="1" allowOverlap="1" wp14:anchorId="11EF75C6" wp14:editId="2A85E3B4">
            <wp:simplePos x="0" y="0"/>
            <wp:positionH relativeFrom="margin">
              <wp:align>left</wp:align>
            </wp:positionH>
            <wp:positionV relativeFrom="paragraph">
              <wp:posOffset>0</wp:posOffset>
            </wp:positionV>
            <wp:extent cx="1644650" cy="1040130"/>
            <wp:effectExtent l="0" t="0" r="0" b="7620"/>
            <wp:wrapSquare wrapText="bothSides"/>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Devonshire House</w:t>
      </w:r>
    </w:p>
    <w:p w14:paraId="5C7EB46B" w14:textId="77777777" w:rsidR="005926DC" w:rsidRDefault="005926DC" w:rsidP="005926DC">
      <w:pPr>
        <w:spacing w:after="0"/>
        <w:jc w:val="right"/>
        <w:rPr>
          <w:b/>
          <w:bCs/>
          <w:lang w:val="en-US"/>
        </w:rPr>
      </w:pPr>
      <w:r>
        <w:rPr>
          <w:lang w:val="en-US"/>
        </w:rPr>
        <w:t xml:space="preserve">60 Goswell Road </w:t>
      </w:r>
    </w:p>
    <w:p w14:paraId="03DC64D6" w14:textId="77777777" w:rsidR="005926DC" w:rsidRDefault="005926DC" w:rsidP="005926DC">
      <w:pPr>
        <w:spacing w:after="0"/>
        <w:jc w:val="right"/>
        <w:rPr>
          <w:b/>
          <w:bCs/>
          <w:lang w:val="en-US"/>
        </w:rPr>
      </w:pPr>
      <w:r>
        <w:rPr>
          <w:lang w:val="en-US"/>
        </w:rPr>
        <w:t xml:space="preserve">London </w:t>
      </w:r>
    </w:p>
    <w:p w14:paraId="391511CD" w14:textId="77777777" w:rsidR="005926DC" w:rsidRDefault="005926DC" w:rsidP="005926DC">
      <w:pPr>
        <w:spacing w:after="0"/>
        <w:jc w:val="right"/>
        <w:rPr>
          <w:b/>
          <w:bCs/>
          <w:lang w:val="en-US"/>
        </w:rPr>
      </w:pPr>
      <w:r>
        <w:rPr>
          <w:lang w:val="en-US"/>
        </w:rPr>
        <w:t xml:space="preserve">EC1M 7AD </w:t>
      </w:r>
    </w:p>
    <w:p w14:paraId="7858B7D1" w14:textId="77777777" w:rsidR="005926DC" w:rsidRDefault="005926DC" w:rsidP="005926DC">
      <w:pPr>
        <w:spacing w:after="0"/>
        <w:jc w:val="right"/>
        <w:rPr>
          <w:b/>
          <w:bCs/>
          <w:lang w:val="en-US"/>
        </w:rPr>
      </w:pPr>
      <w:r>
        <w:rPr>
          <w:lang w:val="en-US"/>
        </w:rPr>
        <w:t xml:space="preserve">T: +44 (0) 20 7247 1452 </w:t>
      </w:r>
    </w:p>
    <w:p w14:paraId="7E90BEAA" w14:textId="77777777" w:rsidR="005926DC" w:rsidRDefault="005926DC" w:rsidP="005926DC">
      <w:pPr>
        <w:spacing w:after="0"/>
        <w:jc w:val="right"/>
        <w:rPr>
          <w:b/>
          <w:bCs/>
          <w:lang w:val="en-US"/>
        </w:rPr>
      </w:pPr>
      <w:r>
        <w:rPr>
          <w:lang w:val="en-US"/>
        </w:rPr>
        <w:t>W: www.pensions-pmi.org.uk</w:t>
      </w:r>
    </w:p>
    <w:p w14:paraId="77CC82DF" w14:textId="24999EF5" w:rsidR="00E94B6E" w:rsidRDefault="00E94B6E">
      <w:pPr>
        <w:spacing w:after="53" w:line="259" w:lineRule="auto"/>
        <w:ind w:left="3509" w:right="-790" w:firstLine="0"/>
      </w:pPr>
    </w:p>
    <w:p w14:paraId="7BC5904E" w14:textId="77777777" w:rsidR="00E94B6E" w:rsidRDefault="00C90CA1">
      <w:pPr>
        <w:spacing w:after="17" w:line="259" w:lineRule="auto"/>
        <w:ind w:left="0" w:right="22" w:firstLine="0"/>
        <w:jc w:val="right"/>
      </w:pPr>
      <w:r>
        <w:t xml:space="preserve"> </w:t>
      </w:r>
    </w:p>
    <w:p w14:paraId="653E04BB" w14:textId="77777777" w:rsidR="00E94B6E" w:rsidRDefault="00C90CA1">
      <w:pPr>
        <w:spacing w:after="213" w:line="259" w:lineRule="auto"/>
        <w:ind w:left="0" w:right="22" w:firstLine="0"/>
        <w:jc w:val="right"/>
      </w:pPr>
      <w:r>
        <w:t xml:space="preserve"> </w:t>
      </w:r>
    </w:p>
    <w:p w14:paraId="174878A4" w14:textId="77777777" w:rsidR="00E94B6E" w:rsidRDefault="00C90CA1">
      <w:pPr>
        <w:spacing w:after="0" w:line="259" w:lineRule="auto"/>
        <w:ind w:left="0" w:right="76" w:firstLine="0"/>
        <w:jc w:val="center"/>
      </w:pPr>
      <w:r>
        <w:rPr>
          <w:sz w:val="40"/>
        </w:rPr>
        <w:t xml:space="preserve">Taxation, Retail Investment and Pensions </w:t>
      </w:r>
    </w:p>
    <w:p w14:paraId="5248E4F9" w14:textId="77777777" w:rsidR="00E94B6E" w:rsidRDefault="00C90CA1">
      <w:pPr>
        <w:spacing w:after="129" w:line="259" w:lineRule="auto"/>
        <w:ind w:left="0" w:right="22" w:firstLine="0"/>
        <w:jc w:val="center"/>
      </w:pPr>
      <w:r>
        <w:rPr>
          <w:sz w:val="20"/>
        </w:rPr>
        <w:t xml:space="preserve"> </w:t>
      </w:r>
    </w:p>
    <w:p w14:paraId="5185038A" w14:textId="77777777" w:rsidR="00E94B6E" w:rsidRDefault="00C90CA1">
      <w:pPr>
        <w:spacing w:after="0" w:line="259" w:lineRule="auto"/>
        <w:ind w:left="0" w:right="78" w:firstLine="0"/>
        <w:jc w:val="center"/>
      </w:pPr>
      <w:r>
        <w:rPr>
          <w:sz w:val="32"/>
        </w:rPr>
        <w:t xml:space="preserve">Mock Examination Notes </w:t>
      </w:r>
    </w:p>
    <w:p w14:paraId="76E5B23A" w14:textId="77777777" w:rsidR="00E94B6E" w:rsidRDefault="00C90CA1">
      <w:pPr>
        <w:spacing w:line="259" w:lineRule="auto"/>
        <w:ind w:left="0" w:right="22" w:firstLine="0"/>
        <w:jc w:val="right"/>
      </w:pPr>
      <w:r>
        <w:t xml:space="preserve"> </w:t>
      </w:r>
    </w:p>
    <w:p w14:paraId="64F346E4" w14:textId="77777777" w:rsidR="00E94B6E" w:rsidRDefault="00C90CA1">
      <w:pPr>
        <w:spacing w:after="26" w:line="259" w:lineRule="auto"/>
        <w:ind w:left="0" w:right="104" w:firstLine="0"/>
        <w:jc w:val="center"/>
      </w:pPr>
      <w:r>
        <w:rPr>
          <w:i/>
          <w:sz w:val="18"/>
        </w:rPr>
        <w:t xml:space="preserve">Recommended Time: 3 Hours </w:t>
      </w:r>
    </w:p>
    <w:p w14:paraId="63F3815A" w14:textId="77777777" w:rsidR="00E94B6E" w:rsidRDefault="00C90CA1">
      <w:pPr>
        <w:spacing w:after="15" w:line="259" w:lineRule="auto"/>
        <w:ind w:left="0" w:right="24" w:firstLine="0"/>
        <w:jc w:val="center"/>
      </w:pPr>
      <w:r>
        <w:t xml:space="preserve"> </w:t>
      </w:r>
    </w:p>
    <w:p w14:paraId="0FB64273" w14:textId="77777777" w:rsidR="00E94B6E" w:rsidRDefault="00C90CA1">
      <w:pPr>
        <w:spacing w:after="0" w:line="259" w:lineRule="auto"/>
        <w:ind w:left="0" w:firstLine="0"/>
      </w:pPr>
      <w:r>
        <w:t xml:space="preserve"> </w:t>
      </w:r>
    </w:p>
    <w:p w14:paraId="5E1FE6B4" w14:textId="77777777" w:rsidR="00E94B6E" w:rsidRDefault="00C90CA1">
      <w:pPr>
        <w:spacing w:after="17" w:line="259" w:lineRule="auto"/>
        <w:ind w:left="0" w:right="22" w:firstLine="0"/>
        <w:jc w:val="right"/>
      </w:pPr>
      <w:r>
        <w:rPr>
          <w:b/>
        </w:rPr>
        <w:t xml:space="preserve"> </w:t>
      </w:r>
    </w:p>
    <w:p w14:paraId="08E278B0" w14:textId="3B8AF49B" w:rsidR="00E94B6E" w:rsidRDefault="00C90CA1">
      <w:pPr>
        <w:spacing w:after="0" w:line="240" w:lineRule="auto"/>
        <w:ind w:left="427" w:right="138" w:hanging="427"/>
        <w:jc w:val="both"/>
      </w:pPr>
      <w:r>
        <w:rPr>
          <w:b/>
        </w:rPr>
        <w:t>1. Laura is aged 43 lives in London and in the tax year 20</w:t>
      </w:r>
      <w:r w:rsidR="009B6DB8">
        <w:rPr>
          <w:b/>
        </w:rPr>
        <w:t>2</w:t>
      </w:r>
      <w:r w:rsidR="00590F1F">
        <w:rPr>
          <w:b/>
        </w:rPr>
        <w:t>1</w:t>
      </w:r>
      <w:r w:rsidR="009B6DB8">
        <w:rPr>
          <w:b/>
        </w:rPr>
        <w:t>/2</w:t>
      </w:r>
      <w:r w:rsidR="00590F1F">
        <w:rPr>
          <w:b/>
        </w:rPr>
        <w:t>2</w:t>
      </w:r>
      <w:r>
        <w:rPr>
          <w:b/>
        </w:rPr>
        <w:t xml:space="preserve"> has taxable income of £105,000 which comprises </w:t>
      </w:r>
      <w:r w:rsidR="006B7038">
        <w:rPr>
          <w:b/>
        </w:rPr>
        <w:t xml:space="preserve">her </w:t>
      </w:r>
      <w:r>
        <w:rPr>
          <w:b/>
        </w:rPr>
        <w:t xml:space="preserve">salary. Calculate her tax liability for the year.  </w:t>
      </w:r>
    </w:p>
    <w:p w14:paraId="733C9DA0" w14:textId="77777777" w:rsidR="00E94B6E" w:rsidRDefault="00C90CA1">
      <w:pPr>
        <w:spacing w:after="17" w:line="259" w:lineRule="auto"/>
        <w:ind w:left="720" w:firstLine="0"/>
      </w:pPr>
      <w:r>
        <w:rPr>
          <w:b/>
        </w:rPr>
        <w:t xml:space="preserve"> </w:t>
      </w:r>
    </w:p>
    <w:p w14:paraId="7777EAF9" w14:textId="77777777" w:rsidR="00E94B6E" w:rsidRDefault="00C90CA1">
      <w:pPr>
        <w:spacing w:after="12"/>
        <w:ind w:left="10" w:right="38"/>
        <w:jc w:val="right"/>
      </w:pPr>
      <w:r>
        <w:rPr>
          <w:b/>
        </w:rPr>
        <w:t xml:space="preserve">10 marks </w:t>
      </w:r>
    </w:p>
    <w:p w14:paraId="4E7E495E" w14:textId="77777777" w:rsidR="00E94B6E" w:rsidRDefault="00C90CA1">
      <w:pPr>
        <w:spacing w:after="14" w:line="259" w:lineRule="auto"/>
        <w:ind w:left="720" w:firstLine="0"/>
      </w:pPr>
      <w:r>
        <w:rPr>
          <w:b/>
        </w:rPr>
        <w:t xml:space="preserve"> </w:t>
      </w:r>
    </w:p>
    <w:p w14:paraId="5DD17F2D" w14:textId="77777777" w:rsidR="00E94B6E" w:rsidRDefault="00C90CA1">
      <w:pPr>
        <w:spacing w:after="17" w:line="259" w:lineRule="auto"/>
        <w:ind w:left="720" w:firstLine="0"/>
      </w:pPr>
      <w:r>
        <w:rPr>
          <w:b/>
        </w:rPr>
        <w:t xml:space="preserve"> </w:t>
      </w:r>
    </w:p>
    <w:p w14:paraId="4908CDFE" w14:textId="77777777" w:rsidR="00E94B6E" w:rsidRDefault="00C90CA1">
      <w:pPr>
        <w:tabs>
          <w:tab w:val="center" w:pos="1104"/>
          <w:tab w:val="center" w:pos="4050"/>
        </w:tabs>
        <w:ind w:left="0" w:firstLine="0"/>
      </w:pPr>
      <w:r>
        <w:rPr>
          <w:rFonts w:ascii="Calibri" w:eastAsia="Calibri" w:hAnsi="Calibri" w:cs="Calibri"/>
          <w:sz w:val="22"/>
        </w:rPr>
        <w:tab/>
      </w:r>
      <w:r>
        <w:t xml:space="preserve">Taxable Income </w:t>
      </w:r>
      <w:r>
        <w:tab/>
        <w:t xml:space="preserve"> = £105,000 </w:t>
      </w:r>
    </w:p>
    <w:p w14:paraId="71D371A5" w14:textId="77777777" w:rsidR="00E94B6E" w:rsidRDefault="00C90CA1">
      <w:pPr>
        <w:spacing w:after="14" w:line="259" w:lineRule="auto"/>
        <w:ind w:left="427" w:firstLine="0"/>
      </w:pPr>
      <w:r>
        <w:t xml:space="preserve"> </w:t>
      </w:r>
    </w:p>
    <w:p w14:paraId="57BBC81E" w14:textId="77777777" w:rsidR="00E94B6E" w:rsidRDefault="00C90CA1">
      <w:pPr>
        <w:ind w:left="422"/>
      </w:pPr>
      <w:r>
        <w:t xml:space="preserve">Personal allowance is reduced by £1 for every £2 taxable income (before the personal allowance) exceeds £100,000. </w:t>
      </w:r>
    </w:p>
    <w:p w14:paraId="59F9066E" w14:textId="77777777" w:rsidR="00E94B6E" w:rsidRDefault="00C90CA1">
      <w:pPr>
        <w:spacing w:after="15" w:line="259" w:lineRule="auto"/>
        <w:ind w:left="427" w:firstLine="0"/>
      </w:pPr>
      <w:r>
        <w:t xml:space="preserve"> </w:t>
      </w:r>
    </w:p>
    <w:p w14:paraId="41789A81" w14:textId="77777777" w:rsidR="00E94B6E" w:rsidRDefault="00C90CA1">
      <w:pPr>
        <w:ind w:left="422"/>
      </w:pPr>
      <w:r>
        <w:t xml:space="preserve">£5,000/2 = £2,500 </w:t>
      </w:r>
    </w:p>
    <w:p w14:paraId="4ACC19F5" w14:textId="77777777" w:rsidR="00E94B6E" w:rsidRDefault="00C90CA1">
      <w:pPr>
        <w:spacing w:after="0" w:line="259" w:lineRule="auto"/>
        <w:ind w:left="427" w:firstLine="0"/>
      </w:pPr>
      <w:r>
        <w:t xml:space="preserve"> </w:t>
      </w:r>
    </w:p>
    <w:tbl>
      <w:tblPr>
        <w:tblStyle w:val="TableGrid"/>
        <w:tblW w:w="8843" w:type="dxa"/>
        <w:tblInd w:w="0" w:type="dxa"/>
        <w:tblLook w:val="04A0" w:firstRow="1" w:lastRow="0" w:firstColumn="1" w:lastColumn="0" w:noHBand="0" w:noVBand="1"/>
      </w:tblPr>
      <w:tblGrid>
        <w:gridCol w:w="360"/>
        <w:gridCol w:w="5401"/>
        <w:gridCol w:w="3082"/>
      </w:tblGrid>
      <w:tr w:rsidR="00E94B6E" w14:paraId="4E17B671" w14:textId="77777777">
        <w:trPr>
          <w:trHeight w:val="231"/>
        </w:trPr>
        <w:tc>
          <w:tcPr>
            <w:tcW w:w="360" w:type="dxa"/>
            <w:tcBorders>
              <w:top w:val="nil"/>
              <w:left w:val="nil"/>
              <w:bottom w:val="nil"/>
              <w:right w:val="nil"/>
            </w:tcBorders>
          </w:tcPr>
          <w:p w14:paraId="130CB6B4" w14:textId="77777777" w:rsidR="00E94B6E" w:rsidRDefault="00E94B6E">
            <w:pPr>
              <w:spacing w:after="160" w:line="259" w:lineRule="auto"/>
              <w:ind w:left="0" w:firstLine="0"/>
            </w:pPr>
          </w:p>
        </w:tc>
        <w:tc>
          <w:tcPr>
            <w:tcW w:w="5401" w:type="dxa"/>
            <w:tcBorders>
              <w:top w:val="nil"/>
              <w:left w:val="nil"/>
              <w:bottom w:val="nil"/>
              <w:right w:val="nil"/>
            </w:tcBorders>
          </w:tcPr>
          <w:p w14:paraId="69C9E40A" w14:textId="1D0D83AA" w:rsidR="00E94B6E" w:rsidRDefault="00C90CA1">
            <w:pPr>
              <w:tabs>
                <w:tab w:val="center" w:pos="2816"/>
                <w:tab w:val="center" w:pos="3924"/>
              </w:tabs>
              <w:spacing w:after="0" w:line="259" w:lineRule="auto"/>
              <w:ind w:left="0" w:firstLine="0"/>
            </w:pPr>
            <w:r>
              <w:t xml:space="preserve">Personal Allowance </w:t>
            </w:r>
            <w:r>
              <w:tab/>
              <w:t xml:space="preserve">=  </w:t>
            </w:r>
            <w:r>
              <w:tab/>
              <w:t>£1</w:t>
            </w:r>
            <w:r w:rsidR="009B6DB8">
              <w:t>2,</w:t>
            </w:r>
            <w:r w:rsidR="008E3534">
              <w:t>570</w:t>
            </w:r>
            <w:r>
              <w:t xml:space="preserve"> – £2,500  </w:t>
            </w:r>
          </w:p>
        </w:tc>
        <w:tc>
          <w:tcPr>
            <w:tcW w:w="3082" w:type="dxa"/>
            <w:tcBorders>
              <w:top w:val="nil"/>
              <w:left w:val="nil"/>
              <w:bottom w:val="nil"/>
              <w:right w:val="nil"/>
            </w:tcBorders>
          </w:tcPr>
          <w:p w14:paraId="013E4CDF" w14:textId="4E6FBF4F" w:rsidR="00E94B6E" w:rsidRDefault="00C90CA1">
            <w:pPr>
              <w:spacing w:after="0" w:line="259" w:lineRule="auto"/>
              <w:ind w:left="0" w:firstLine="0"/>
            </w:pPr>
            <w:r>
              <w:t>= £</w:t>
            </w:r>
            <w:r w:rsidR="00744303">
              <w:t>10,070</w:t>
            </w:r>
            <w:r>
              <w:t xml:space="preserve"> </w:t>
            </w:r>
          </w:p>
        </w:tc>
      </w:tr>
      <w:tr w:rsidR="00E94B6E" w14:paraId="474A18AC" w14:textId="77777777">
        <w:trPr>
          <w:trHeight w:val="503"/>
        </w:trPr>
        <w:tc>
          <w:tcPr>
            <w:tcW w:w="360" w:type="dxa"/>
            <w:tcBorders>
              <w:top w:val="nil"/>
              <w:left w:val="nil"/>
              <w:bottom w:val="nil"/>
              <w:right w:val="nil"/>
            </w:tcBorders>
          </w:tcPr>
          <w:p w14:paraId="7EBEE610" w14:textId="77777777" w:rsidR="00E94B6E" w:rsidRDefault="00E94B6E">
            <w:pPr>
              <w:spacing w:after="160" w:line="259" w:lineRule="auto"/>
              <w:ind w:left="0" w:firstLine="0"/>
            </w:pPr>
          </w:p>
        </w:tc>
        <w:tc>
          <w:tcPr>
            <w:tcW w:w="5401" w:type="dxa"/>
            <w:tcBorders>
              <w:top w:val="nil"/>
              <w:left w:val="nil"/>
              <w:bottom w:val="nil"/>
              <w:right w:val="nil"/>
            </w:tcBorders>
          </w:tcPr>
          <w:p w14:paraId="7C8CF762" w14:textId="362E5B97" w:rsidR="00E94B6E" w:rsidRDefault="00C90CA1">
            <w:pPr>
              <w:tabs>
                <w:tab w:val="center" w:pos="2816"/>
                <w:tab w:val="center" w:pos="3977"/>
              </w:tabs>
              <w:spacing w:after="23" w:line="259" w:lineRule="auto"/>
              <w:ind w:left="0" w:firstLine="0"/>
            </w:pPr>
            <w:r>
              <w:t xml:space="preserve">Chargeable Balance </w:t>
            </w:r>
            <w:r>
              <w:tab/>
              <w:t xml:space="preserve">=  </w:t>
            </w:r>
            <w:r>
              <w:tab/>
              <w:t>£105,000 – £</w:t>
            </w:r>
            <w:r w:rsidR="00744303">
              <w:t>10,070</w:t>
            </w:r>
            <w:r>
              <w:t xml:space="preserve"> </w:t>
            </w:r>
          </w:p>
          <w:p w14:paraId="46FB694E" w14:textId="77777777" w:rsidR="00E94B6E" w:rsidRDefault="00C90CA1">
            <w:pPr>
              <w:spacing w:after="0" w:line="259" w:lineRule="auto"/>
              <w:ind w:left="67" w:firstLine="0"/>
            </w:pPr>
            <w:r>
              <w:t xml:space="preserve"> </w:t>
            </w:r>
          </w:p>
        </w:tc>
        <w:tc>
          <w:tcPr>
            <w:tcW w:w="3082" w:type="dxa"/>
            <w:tcBorders>
              <w:top w:val="nil"/>
              <w:left w:val="nil"/>
              <w:bottom w:val="nil"/>
              <w:right w:val="nil"/>
            </w:tcBorders>
          </w:tcPr>
          <w:p w14:paraId="3603B52C" w14:textId="573BAF4D" w:rsidR="00E94B6E" w:rsidRDefault="00C90CA1">
            <w:pPr>
              <w:spacing w:after="0" w:line="259" w:lineRule="auto"/>
              <w:ind w:left="0" w:firstLine="0"/>
            </w:pPr>
            <w:r>
              <w:t>= £9</w:t>
            </w:r>
            <w:r w:rsidR="00E10AA8">
              <w:t>4</w:t>
            </w:r>
            <w:r>
              <w:t>,</w:t>
            </w:r>
            <w:r w:rsidR="00E10AA8">
              <w:t>93</w:t>
            </w:r>
            <w:r>
              <w:t xml:space="preserve">0  </w:t>
            </w:r>
          </w:p>
        </w:tc>
      </w:tr>
      <w:tr w:rsidR="00E94B6E" w14:paraId="30F521A5" w14:textId="77777777">
        <w:trPr>
          <w:trHeight w:val="251"/>
        </w:trPr>
        <w:tc>
          <w:tcPr>
            <w:tcW w:w="360" w:type="dxa"/>
            <w:tcBorders>
              <w:top w:val="nil"/>
              <w:left w:val="nil"/>
              <w:bottom w:val="nil"/>
              <w:right w:val="nil"/>
            </w:tcBorders>
          </w:tcPr>
          <w:p w14:paraId="00A16777" w14:textId="77777777" w:rsidR="00E94B6E" w:rsidRDefault="00E94B6E">
            <w:pPr>
              <w:spacing w:after="160" w:line="259" w:lineRule="auto"/>
              <w:ind w:left="0" w:firstLine="0"/>
            </w:pPr>
          </w:p>
        </w:tc>
        <w:tc>
          <w:tcPr>
            <w:tcW w:w="5401" w:type="dxa"/>
            <w:tcBorders>
              <w:top w:val="nil"/>
              <w:left w:val="nil"/>
              <w:bottom w:val="nil"/>
              <w:right w:val="nil"/>
            </w:tcBorders>
          </w:tcPr>
          <w:p w14:paraId="4B0ADFB3" w14:textId="18F6570A" w:rsidR="00E94B6E" w:rsidRDefault="00C90CA1">
            <w:pPr>
              <w:tabs>
                <w:tab w:val="center" w:pos="2816"/>
                <w:tab w:val="center" w:pos="4196"/>
              </w:tabs>
              <w:spacing w:after="0" w:line="259" w:lineRule="auto"/>
              <w:ind w:left="0" w:firstLine="0"/>
            </w:pPr>
            <w:r>
              <w:t xml:space="preserve">Basic Rate </w:t>
            </w:r>
            <w:r>
              <w:tab/>
              <w:t xml:space="preserve">= </w:t>
            </w:r>
            <w:r>
              <w:tab/>
              <w:t>£3</w:t>
            </w:r>
            <w:r w:rsidR="008E3534">
              <w:t>7,700</w:t>
            </w:r>
            <w:r>
              <w:t xml:space="preserve"> Taxed at 20%  </w:t>
            </w:r>
          </w:p>
        </w:tc>
        <w:tc>
          <w:tcPr>
            <w:tcW w:w="3082" w:type="dxa"/>
            <w:tcBorders>
              <w:top w:val="nil"/>
              <w:left w:val="nil"/>
              <w:bottom w:val="nil"/>
              <w:right w:val="nil"/>
            </w:tcBorders>
          </w:tcPr>
          <w:p w14:paraId="7B34BAF4" w14:textId="08207473" w:rsidR="00E94B6E" w:rsidRDefault="00C90CA1">
            <w:pPr>
              <w:spacing w:after="0" w:line="259" w:lineRule="auto"/>
              <w:ind w:left="0" w:firstLine="0"/>
            </w:pPr>
            <w:r>
              <w:t>= £</w:t>
            </w:r>
            <w:r w:rsidR="00744303">
              <w:t>7,540</w:t>
            </w:r>
            <w:r>
              <w:t xml:space="preserve"> </w:t>
            </w:r>
          </w:p>
        </w:tc>
      </w:tr>
      <w:tr w:rsidR="00E94B6E" w14:paraId="59B98357" w14:textId="77777777">
        <w:trPr>
          <w:trHeight w:val="251"/>
        </w:trPr>
        <w:tc>
          <w:tcPr>
            <w:tcW w:w="360" w:type="dxa"/>
            <w:tcBorders>
              <w:top w:val="nil"/>
              <w:left w:val="nil"/>
              <w:bottom w:val="nil"/>
              <w:right w:val="nil"/>
            </w:tcBorders>
          </w:tcPr>
          <w:p w14:paraId="47188C49" w14:textId="77777777" w:rsidR="00E94B6E" w:rsidRDefault="00E94B6E">
            <w:pPr>
              <w:spacing w:after="160" w:line="259" w:lineRule="auto"/>
              <w:ind w:left="0" w:firstLine="0"/>
            </w:pPr>
          </w:p>
        </w:tc>
        <w:tc>
          <w:tcPr>
            <w:tcW w:w="5401" w:type="dxa"/>
            <w:tcBorders>
              <w:top w:val="nil"/>
              <w:left w:val="nil"/>
              <w:bottom w:val="nil"/>
              <w:right w:val="nil"/>
            </w:tcBorders>
          </w:tcPr>
          <w:p w14:paraId="13CAA217" w14:textId="351DF711" w:rsidR="00E94B6E" w:rsidRDefault="00C90CA1">
            <w:pPr>
              <w:tabs>
                <w:tab w:val="center" w:pos="2816"/>
                <w:tab w:val="center" w:pos="4196"/>
              </w:tabs>
              <w:spacing w:after="0" w:line="259" w:lineRule="auto"/>
              <w:ind w:left="0" w:firstLine="0"/>
            </w:pPr>
            <w:r>
              <w:t xml:space="preserve">Higher Rate </w:t>
            </w:r>
            <w:r>
              <w:tab/>
              <w:t xml:space="preserve">= </w:t>
            </w:r>
            <w:r>
              <w:tab/>
              <w:t>£</w:t>
            </w:r>
            <w:r w:rsidR="00744303">
              <w:t>5</w:t>
            </w:r>
            <w:r w:rsidR="00590F1F">
              <w:t>7,</w:t>
            </w:r>
            <w:r w:rsidR="00E10AA8">
              <w:t>23</w:t>
            </w:r>
            <w:r w:rsidR="00590F1F">
              <w:t>0</w:t>
            </w:r>
            <w:r>
              <w:t xml:space="preserve"> Taxed at 40%  </w:t>
            </w:r>
          </w:p>
        </w:tc>
        <w:tc>
          <w:tcPr>
            <w:tcW w:w="3082" w:type="dxa"/>
            <w:tcBorders>
              <w:top w:val="nil"/>
              <w:left w:val="nil"/>
              <w:bottom w:val="nil"/>
              <w:right w:val="nil"/>
            </w:tcBorders>
          </w:tcPr>
          <w:p w14:paraId="5FB91077" w14:textId="4F326C44" w:rsidR="00E94B6E" w:rsidRDefault="00C90CA1">
            <w:pPr>
              <w:spacing w:after="0" w:line="259" w:lineRule="auto"/>
              <w:ind w:left="0" w:firstLine="0"/>
            </w:pPr>
            <w:r>
              <w:t>= £2</w:t>
            </w:r>
            <w:r w:rsidR="00E10AA8">
              <w:t>2</w:t>
            </w:r>
            <w:r w:rsidR="00590F1F">
              <w:t>,</w:t>
            </w:r>
            <w:r w:rsidR="00E10AA8">
              <w:t>892</w:t>
            </w:r>
            <w:r>
              <w:t xml:space="preserve"> </w:t>
            </w:r>
          </w:p>
        </w:tc>
      </w:tr>
      <w:tr w:rsidR="00E94B6E" w14:paraId="366B9635" w14:textId="77777777">
        <w:trPr>
          <w:trHeight w:val="504"/>
        </w:trPr>
        <w:tc>
          <w:tcPr>
            <w:tcW w:w="360" w:type="dxa"/>
            <w:tcBorders>
              <w:top w:val="nil"/>
              <w:left w:val="nil"/>
              <w:bottom w:val="nil"/>
              <w:right w:val="nil"/>
            </w:tcBorders>
          </w:tcPr>
          <w:p w14:paraId="3CF07FD7" w14:textId="77777777" w:rsidR="00E94B6E" w:rsidRDefault="00E94B6E">
            <w:pPr>
              <w:spacing w:after="160" w:line="259" w:lineRule="auto"/>
              <w:ind w:left="0" w:firstLine="0"/>
            </w:pPr>
          </w:p>
        </w:tc>
        <w:tc>
          <w:tcPr>
            <w:tcW w:w="5401" w:type="dxa"/>
            <w:tcBorders>
              <w:top w:val="nil"/>
              <w:left w:val="nil"/>
              <w:bottom w:val="nil"/>
              <w:right w:val="nil"/>
            </w:tcBorders>
          </w:tcPr>
          <w:p w14:paraId="71652FC6" w14:textId="77777777" w:rsidR="00E94B6E" w:rsidRDefault="00C90CA1">
            <w:pPr>
              <w:tabs>
                <w:tab w:val="center" w:pos="2816"/>
                <w:tab w:val="center" w:pos="3958"/>
              </w:tabs>
              <w:spacing w:after="23" w:line="259" w:lineRule="auto"/>
              <w:ind w:left="0" w:firstLine="0"/>
            </w:pPr>
            <w:r>
              <w:t xml:space="preserve">Additional Rate </w:t>
            </w:r>
            <w:r>
              <w:tab/>
              <w:t xml:space="preserve">= </w:t>
            </w:r>
            <w:r>
              <w:tab/>
              <w:t xml:space="preserve">£0 Taxed at 45%  </w:t>
            </w:r>
          </w:p>
          <w:p w14:paraId="51E6A282" w14:textId="77777777" w:rsidR="00E94B6E" w:rsidRDefault="00C90CA1">
            <w:pPr>
              <w:spacing w:after="0" w:line="259" w:lineRule="auto"/>
              <w:ind w:left="67" w:firstLine="0"/>
            </w:pPr>
            <w:r>
              <w:t xml:space="preserve"> </w:t>
            </w:r>
          </w:p>
        </w:tc>
        <w:tc>
          <w:tcPr>
            <w:tcW w:w="3082" w:type="dxa"/>
            <w:tcBorders>
              <w:top w:val="nil"/>
              <w:left w:val="nil"/>
              <w:bottom w:val="nil"/>
              <w:right w:val="nil"/>
            </w:tcBorders>
          </w:tcPr>
          <w:p w14:paraId="17F53E81" w14:textId="77777777" w:rsidR="00E94B6E" w:rsidRDefault="00C90CA1">
            <w:pPr>
              <w:spacing w:after="0" w:line="259" w:lineRule="auto"/>
              <w:ind w:left="0" w:firstLine="0"/>
            </w:pPr>
            <w:r>
              <w:t xml:space="preserve">= £0 </w:t>
            </w:r>
          </w:p>
        </w:tc>
      </w:tr>
      <w:tr w:rsidR="00E94B6E" w14:paraId="104A5B14" w14:textId="77777777">
        <w:trPr>
          <w:trHeight w:val="1487"/>
        </w:trPr>
        <w:tc>
          <w:tcPr>
            <w:tcW w:w="360" w:type="dxa"/>
            <w:tcBorders>
              <w:top w:val="nil"/>
              <w:left w:val="nil"/>
              <w:bottom w:val="nil"/>
              <w:right w:val="nil"/>
            </w:tcBorders>
          </w:tcPr>
          <w:p w14:paraId="586E43B2" w14:textId="77777777" w:rsidR="00E94B6E" w:rsidRDefault="00E94B6E">
            <w:pPr>
              <w:spacing w:after="160" w:line="259" w:lineRule="auto"/>
              <w:ind w:left="0" w:firstLine="0"/>
            </w:pPr>
          </w:p>
        </w:tc>
        <w:tc>
          <w:tcPr>
            <w:tcW w:w="5401" w:type="dxa"/>
            <w:tcBorders>
              <w:top w:val="nil"/>
              <w:left w:val="nil"/>
              <w:bottom w:val="nil"/>
              <w:right w:val="nil"/>
            </w:tcBorders>
          </w:tcPr>
          <w:p w14:paraId="1927F8B4" w14:textId="5B2160BA" w:rsidR="00E94B6E" w:rsidRDefault="00C90CA1">
            <w:pPr>
              <w:tabs>
                <w:tab w:val="center" w:pos="2816"/>
                <w:tab w:val="center" w:pos="4196"/>
              </w:tabs>
              <w:spacing w:after="20" w:line="259" w:lineRule="auto"/>
              <w:ind w:left="0" w:firstLine="0"/>
            </w:pPr>
            <w:r>
              <w:rPr>
                <w:b/>
              </w:rPr>
              <w:t xml:space="preserve">Total tax liability  </w:t>
            </w:r>
            <w:r>
              <w:rPr>
                <w:b/>
              </w:rPr>
              <w:tab/>
              <w:t xml:space="preserve">= </w:t>
            </w:r>
            <w:r>
              <w:rPr>
                <w:b/>
              </w:rPr>
              <w:tab/>
              <w:t>£</w:t>
            </w:r>
            <w:r w:rsidR="00744303">
              <w:rPr>
                <w:b/>
              </w:rPr>
              <w:t>7,54</w:t>
            </w:r>
            <w:r>
              <w:rPr>
                <w:b/>
              </w:rPr>
              <w:t>0 + £2</w:t>
            </w:r>
            <w:r w:rsidR="00E10AA8">
              <w:rPr>
                <w:b/>
              </w:rPr>
              <w:t>2</w:t>
            </w:r>
            <w:r w:rsidR="00590F1F">
              <w:rPr>
                <w:b/>
              </w:rPr>
              <w:t>,</w:t>
            </w:r>
            <w:r w:rsidR="00E10AA8">
              <w:rPr>
                <w:b/>
              </w:rPr>
              <w:t>892</w:t>
            </w:r>
            <w:r>
              <w:rPr>
                <w:b/>
              </w:rPr>
              <w:t xml:space="preserve"> + £0 </w:t>
            </w:r>
          </w:p>
          <w:p w14:paraId="2D7CE097" w14:textId="77777777" w:rsidR="00E94B6E" w:rsidRDefault="00C90CA1">
            <w:pPr>
              <w:spacing w:after="17" w:line="259" w:lineRule="auto"/>
              <w:ind w:left="0" w:firstLine="0"/>
            </w:pPr>
            <w:r>
              <w:t xml:space="preserve"> </w:t>
            </w:r>
          </w:p>
          <w:p w14:paraId="2AC0DA79" w14:textId="77777777" w:rsidR="00E94B6E" w:rsidRDefault="00C90CA1">
            <w:pPr>
              <w:spacing w:after="235" w:line="259" w:lineRule="auto"/>
              <w:ind w:left="67" w:firstLine="0"/>
            </w:pPr>
            <w:r>
              <w:t xml:space="preserve">Relevant section of the manual is Part 2 Chapter 1.5 </w:t>
            </w:r>
          </w:p>
          <w:p w14:paraId="438A10B9" w14:textId="77777777" w:rsidR="00E94B6E" w:rsidRDefault="00C90CA1">
            <w:pPr>
              <w:spacing w:after="24" w:line="259" w:lineRule="auto"/>
              <w:ind w:left="0" w:firstLine="0"/>
            </w:pPr>
            <w:r>
              <w:rPr>
                <w:b/>
              </w:rPr>
              <w:t xml:space="preserve"> </w:t>
            </w:r>
          </w:p>
          <w:p w14:paraId="22B06EF6" w14:textId="77777777" w:rsidR="00E94B6E" w:rsidRDefault="00C90CA1">
            <w:pPr>
              <w:spacing w:after="0" w:line="259" w:lineRule="auto"/>
              <w:ind w:left="0" w:firstLine="0"/>
            </w:pPr>
            <w:r>
              <w:rPr>
                <w:b/>
                <w:sz w:val="20"/>
              </w:rPr>
              <w:t xml:space="preserve"> </w:t>
            </w:r>
          </w:p>
        </w:tc>
        <w:tc>
          <w:tcPr>
            <w:tcW w:w="3082" w:type="dxa"/>
            <w:tcBorders>
              <w:top w:val="nil"/>
              <w:left w:val="nil"/>
              <w:bottom w:val="nil"/>
              <w:right w:val="nil"/>
            </w:tcBorders>
          </w:tcPr>
          <w:p w14:paraId="659DA077" w14:textId="65F1C78E" w:rsidR="00E94B6E" w:rsidRDefault="00C90CA1">
            <w:pPr>
              <w:spacing w:after="485" w:line="259" w:lineRule="auto"/>
              <w:ind w:left="0" w:firstLine="0"/>
            </w:pPr>
            <w:r>
              <w:rPr>
                <w:b/>
              </w:rPr>
              <w:t>= £</w:t>
            </w:r>
            <w:r w:rsidR="00590F1F">
              <w:rPr>
                <w:b/>
              </w:rPr>
              <w:t>30,</w:t>
            </w:r>
            <w:r w:rsidR="00E10AA8">
              <w:rPr>
                <w:b/>
              </w:rPr>
              <w:t>432</w:t>
            </w:r>
          </w:p>
          <w:p w14:paraId="6B21F1E9" w14:textId="77777777" w:rsidR="00E94B6E" w:rsidRDefault="00C90CA1">
            <w:pPr>
              <w:spacing w:after="0" w:line="259" w:lineRule="auto"/>
              <w:ind w:left="0" w:right="53" w:firstLine="0"/>
              <w:jc w:val="right"/>
            </w:pPr>
            <w:r>
              <w:rPr>
                <w:b/>
              </w:rPr>
              <w:t xml:space="preserve">10 marks </w:t>
            </w:r>
          </w:p>
        </w:tc>
      </w:tr>
      <w:tr w:rsidR="00E94B6E" w14:paraId="57E51E33" w14:textId="77777777">
        <w:trPr>
          <w:trHeight w:val="2823"/>
        </w:trPr>
        <w:tc>
          <w:tcPr>
            <w:tcW w:w="360" w:type="dxa"/>
            <w:tcBorders>
              <w:top w:val="nil"/>
              <w:left w:val="nil"/>
              <w:bottom w:val="nil"/>
              <w:right w:val="nil"/>
            </w:tcBorders>
          </w:tcPr>
          <w:p w14:paraId="0F94C33E" w14:textId="77777777" w:rsidR="00E94B6E" w:rsidRDefault="00C90CA1">
            <w:pPr>
              <w:spacing w:after="0" w:line="259" w:lineRule="auto"/>
              <w:ind w:left="0" w:firstLine="0"/>
            </w:pPr>
            <w:r>
              <w:rPr>
                <w:b/>
              </w:rPr>
              <w:t xml:space="preserve">2. </w:t>
            </w:r>
          </w:p>
        </w:tc>
        <w:tc>
          <w:tcPr>
            <w:tcW w:w="5401" w:type="dxa"/>
            <w:tcBorders>
              <w:top w:val="nil"/>
              <w:left w:val="nil"/>
              <w:bottom w:val="nil"/>
              <w:right w:val="nil"/>
            </w:tcBorders>
          </w:tcPr>
          <w:p w14:paraId="5912E51C" w14:textId="77777777" w:rsidR="00E94B6E" w:rsidRDefault="00C90CA1">
            <w:pPr>
              <w:spacing w:after="233" w:line="259" w:lineRule="auto"/>
              <w:ind w:left="67" w:firstLine="0"/>
            </w:pPr>
            <w:r>
              <w:rPr>
                <w:b/>
              </w:rPr>
              <w:t xml:space="preserve">Outline the types of taxable benefits in kind.  </w:t>
            </w:r>
          </w:p>
          <w:p w14:paraId="44EC36DE" w14:textId="77777777" w:rsidR="00E94B6E" w:rsidRDefault="00C90CA1">
            <w:pPr>
              <w:spacing w:after="30" w:line="259" w:lineRule="auto"/>
              <w:ind w:left="67" w:firstLine="0"/>
            </w:pPr>
            <w:r>
              <w:t xml:space="preserve">These include: </w:t>
            </w:r>
          </w:p>
          <w:p w14:paraId="3501B85E" w14:textId="77777777" w:rsidR="00E94B6E" w:rsidRDefault="00C90CA1">
            <w:pPr>
              <w:numPr>
                <w:ilvl w:val="0"/>
                <w:numId w:val="3"/>
              </w:numPr>
              <w:spacing w:after="0" w:line="259" w:lineRule="auto"/>
              <w:ind w:hanging="293"/>
            </w:pPr>
            <w:r>
              <w:t>Living accommodation</w:t>
            </w:r>
            <w:r>
              <w:rPr>
                <w:b/>
              </w:rPr>
              <w:t xml:space="preserve"> </w:t>
            </w:r>
          </w:p>
          <w:p w14:paraId="1E0AC033" w14:textId="77777777" w:rsidR="00E94B6E" w:rsidRDefault="00C90CA1">
            <w:pPr>
              <w:numPr>
                <w:ilvl w:val="0"/>
                <w:numId w:val="3"/>
              </w:numPr>
              <w:spacing w:after="0" w:line="259" w:lineRule="auto"/>
              <w:ind w:hanging="293"/>
            </w:pPr>
            <w:r>
              <w:t>Use of assets</w:t>
            </w:r>
            <w:r>
              <w:rPr>
                <w:b/>
              </w:rPr>
              <w:t xml:space="preserve"> </w:t>
            </w:r>
          </w:p>
          <w:p w14:paraId="1D7C1409" w14:textId="77777777" w:rsidR="00E94B6E" w:rsidRDefault="00C90CA1">
            <w:pPr>
              <w:numPr>
                <w:ilvl w:val="0"/>
                <w:numId w:val="3"/>
              </w:numPr>
              <w:spacing w:after="0" w:line="259" w:lineRule="auto"/>
              <w:ind w:hanging="293"/>
            </w:pPr>
            <w:r>
              <w:t>Fuel for a company car</w:t>
            </w:r>
            <w:r>
              <w:rPr>
                <w:b/>
              </w:rPr>
              <w:t xml:space="preserve"> </w:t>
            </w:r>
          </w:p>
          <w:p w14:paraId="3C1956E4" w14:textId="77777777" w:rsidR="00E94B6E" w:rsidRDefault="00C90CA1">
            <w:pPr>
              <w:numPr>
                <w:ilvl w:val="0"/>
                <w:numId w:val="3"/>
              </w:numPr>
              <w:spacing w:after="0" w:line="259" w:lineRule="auto"/>
              <w:ind w:hanging="293"/>
            </w:pPr>
            <w:r>
              <w:t xml:space="preserve">Gifts of assets </w:t>
            </w:r>
          </w:p>
          <w:p w14:paraId="33273674" w14:textId="77777777" w:rsidR="00E94B6E" w:rsidRDefault="00C90CA1">
            <w:pPr>
              <w:numPr>
                <w:ilvl w:val="0"/>
                <w:numId w:val="3"/>
              </w:numPr>
              <w:spacing w:after="0" w:line="259" w:lineRule="auto"/>
              <w:ind w:hanging="293"/>
            </w:pPr>
            <w:r>
              <w:t xml:space="preserve">Payments to cover income tax </w:t>
            </w:r>
          </w:p>
          <w:p w14:paraId="0260E0E1" w14:textId="77777777" w:rsidR="00E94B6E" w:rsidRDefault="00C90CA1">
            <w:pPr>
              <w:numPr>
                <w:ilvl w:val="0"/>
                <w:numId w:val="3"/>
              </w:numPr>
              <w:spacing w:after="0" w:line="259" w:lineRule="auto"/>
              <w:ind w:hanging="293"/>
            </w:pPr>
            <w:r>
              <w:t xml:space="preserve">Scholarships </w:t>
            </w:r>
          </w:p>
          <w:p w14:paraId="599FB7F5" w14:textId="77777777" w:rsidR="00E94B6E" w:rsidRDefault="00C90CA1">
            <w:pPr>
              <w:numPr>
                <w:ilvl w:val="0"/>
                <w:numId w:val="3"/>
              </w:numPr>
              <w:spacing w:after="0" w:line="259" w:lineRule="auto"/>
              <w:ind w:hanging="293"/>
            </w:pPr>
            <w:r>
              <w:t xml:space="preserve">Other benefits in kind like hotel accommodation </w:t>
            </w:r>
          </w:p>
          <w:p w14:paraId="5F610FE4" w14:textId="77777777" w:rsidR="00E94B6E" w:rsidRDefault="00C90CA1">
            <w:pPr>
              <w:spacing w:after="14" w:line="259" w:lineRule="auto"/>
              <w:ind w:left="0" w:firstLine="0"/>
            </w:pPr>
            <w:r>
              <w:rPr>
                <w:b/>
              </w:rPr>
              <w:t xml:space="preserve"> </w:t>
            </w:r>
          </w:p>
          <w:p w14:paraId="29AB7F29" w14:textId="77777777" w:rsidR="00E94B6E" w:rsidRDefault="00C90CA1">
            <w:pPr>
              <w:spacing w:after="0" w:line="259" w:lineRule="auto"/>
              <w:ind w:left="67" w:firstLine="0"/>
            </w:pPr>
            <w:r>
              <w:t xml:space="preserve">Relevant section of the manual is Part 2 Chapter 1.5.3 </w:t>
            </w:r>
          </w:p>
        </w:tc>
        <w:tc>
          <w:tcPr>
            <w:tcW w:w="3082" w:type="dxa"/>
            <w:tcBorders>
              <w:top w:val="nil"/>
              <w:left w:val="nil"/>
              <w:bottom w:val="nil"/>
              <w:right w:val="nil"/>
            </w:tcBorders>
          </w:tcPr>
          <w:p w14:paraId="333A1FDD" w14:textId="77777777" w:rsidR="00E94B6E" w:rsidRDefault="00C90CA1">
            <w:pPr>
              <w:spacing w:after="0" w:line="259" w:lineRule="auto"/>
              <w:ind w:left="0" w:right="53" w:firstLine="0"/>
              <w:jc w:val="right"/>
            </w:pPr>
            <w:r>
              <w:rPr>
                <w:b/>
              </w:rPr>
              <w:t xml:space="preserve">10 marks </w:t>
            </w:r>
          </w:p>
        </w:tc>
      </w:tr>
    </w:tbl>
    <w:p w14:paraId="0BC47E38" w14:textId="77777777" w:rsidR="00E94B6E" w:rsidRDefault="00C90CA1">
      <w:pPr>
        <w:spacing w:after="12"/>
        <w:ind w:left="10" w:right="38"/>
        <w:jc w:val="right"/>
      </w:pPr>
      <w:r>
        <w:rPr>
          <w:b/>
        </w:rPr>
        <w:lastRenderedPageBreak/>
        <w:t xml:space="preserve">10 marks </w:t>
      </w:r>
    </w:p>
    <w:p w14:paraId="0C2AEF35" w14:textId="77777777" w:rsidR="00E94B6E" w:rsidRDefault="00C90CA1">
      <w:pPr>
        <w:spacing w:after="17" w:line="259" w:lineRule="auto"/>
        <w:ind w:left="0" w:firstLine="0"/>
      </w:pPr>
      <w:r>
        <w:rPr>
          <w:b/>
          <w:sz w:val="20"/>
        </w:rPr>
        <w:t xml:space="preserve"> </w:t>
      </w:r>
    </w:p>
    <w:p w14:paraId="662774F5" w14:textId="77777777" w:rsidR="00E94B6E" w:rsidRDefault="00C90CA1">
      <w:pPr>
        <w:spacing w:after="7" w:line="259" w:lineRule="auto"/>
        <w:ind w:left="0" w:firstLine="0"/>
      </w:pPr>
      <w:r>
        <w:rPr>
          <w:b/>
          <w:sz w:val="20"/>
        </w:rPr>
        <w:t xml:space="preserve"> </w:t>
      </w:r>
    </w:p>
    <w:p w14:paraId="12BEB765" w14:textId="38288CF1" w:rsidR="00E94B6E" w:rsidRDefault="00C90CA1">
      <w:pPr>
        <w:numPr>
          <w:ilvl w:val="0"/>
          <w:numId w:val="1"/>
        </w:numPr>
        <w:spacing w:after="4" w:line="250" w:lineRule="auto"/>
        <w:ind w:hanging="427"/>
      </w:pPr>
      <w:r>
        <w:rPr>
          <w:b/>
        </w:rPr>
        <w:t>In the tax year 2</w:t>
      </w:r>
      <w:r w:rsidR="00157849">
        <w:rPr>
          <w:b/>
        </w:rPr>
        <w:t>021/22</w:t>
      </w:r>
      <w:r>
        <w:rPr>
          <w:b/>
        </w:rPr>
        <w:t xml:space="preserve">, Bradley made capital gains of £45,000 of which £5,000 qualifies for entrepreneurs’ relief. Bradley’s chargeable income for income tax purposes, after deducting his personal allowance is £25,000. Set out how his capital gains tax liability would be calculated.  </w:t>
      </w:r>
    </w:p>
    <w:p w14:paraId="398E4FBF" w14:textId="77777777" w:rsidR="00E94B6E" w:rsidRDefault="00C90CA1">
      <w:pPr>
        <w:spacing w:after="12"/>
        <w:ind w:left="10" w:right="38"/>
        <w:jc w:val="right"/>
      </w:pPr>
      <w:r>
        <w:rPr>
          <w:b/>
        </w:rPr>
        <w:t xml:space="preserve">10 marks </w:t>
      </w:r>
    </w:p>
    <w:p w14:paraId="239612C1" w14:textId="77777777" w:rsidR="00E94B6E" w:rsidRDefault="00C90CA1">
      <w:pPr>
        <w:spacing w:after="17" w:line="259" w:lineRule="auto"/>
        <w:ind w:left="0" w:firstLine="0"/>
      </w:pPr>
      <w:r>
        <w:rPr>
          <w:b/>
        </w:rPr>
        <w:t xml:space="preserve"> </w:t>
      </w:r>
    </w:p>
    <w:p w14:paraId="4F5A2AB6" w14:textId="77777777" w:rsidR="00E94B6E" w:rsidRDefault="00C90CA1">
      <w:pPr>
        <w:spacing w:after="17" w:line="259" w:lineRule="auto"/>
        <w:ind w:left="427" w:firstLine="0"/>
      </w:pPr>
      <w:r>
        <w:t xml:space="preserve"> </w:t>
      </w:r>
    </w:p>
    <w:p w14:paraId="51257596" w14:textId="77777777" w:rsidR="00E94B6E" w:rsidRDefault="00C90CA1">
      <w:pPr>
        <w:tabs>
          <w:tab w:val="center" w:pos="930"/>
          <w:tab w:val="center" w:pos="2160"/>
          <w:tab w:val="center" w:pos="2881"/>
          <w:tab w:val="center" w:pos="3601"/>
          <w:tab w:val="center" w:pos="4321"/>
          <w:tab w:val="center" w:pos="5041"/>
          <w:tab w:val="center" w:pos="5761"/>
          <w:tab w:val="center" w:pos="6905"/>
        </w:tabs>
        <w:ind w:left="0" w:firstLine="0"/>
      </w:pPr>
      <w:r>
        <w:rPr>
          <w:rFonts w:ascii="Calibri" w:eastAsia="Calibri" w:hAnsi="Calibri" w:cs="Calibri"/>
          <w:sz w:val="22"/>
        </w:rPr>
        <w:tab/>
      </w:r>
      <w:r>
        <w:t xml:space="preserve">Capital gain  </w:t>
      </w:r>
      <w:r>
        <w:tab/>
        <w:t xml:space="preserve"> </w:t>
      </w:r>
      <w:r>
        <w:tab/>
        <w:t xml:space="preserve"> </w:t>
      </w:r>
      <w:r>
        <w:tab/>
        <w:t xml:space="preserve"> </w:t>
      </w:r>
      <w:r>
        <w:tab/>
        <w:t xml:space="preserve"> </w:t>
      </w:r>
      <w:r>
        <w:tab/>
        <w:t xml:space="preserve"> </w:t>
      </w:r>
      <w:r>
        <w:tab/>
        <w:t xml:space="preserve"> </w:t>
      </w:r>
      <w:r>
        <w:tab/>
        <w:t xml:space="preserve">= £45,000 </w:t>
      </w:r>
    </w:p>
    <w:p w14:paraId="251CE3CB" w14:textId="77777777" w:rsidR="00E94B6E" w:rsidRDefault="00C90CA1">
      <w:pPr>
        <w:spacing w:after="17" w:line="259" w:lineRule="auto"/>
        <w:ind w:left="427" w:firstLine="0"/>
      </w:pPr>
      <w:r>
        <w:t xml:space="preserve"> </w:t>
      </w:r>
    </w:p>
    <w:p w14:paraId="605BB697" w14:textId="77777777" w:rsidR="00E94B6E" w:rsidRDefault="00C90CA1">
      <w:pPr>
        <w:tabs>
          <w:tab w:val="center" w:pos="2113"/>
          <w:tab w:val="center" w:pos="4321"/>
          <w:tab w:val="center" w:pos="5041"/>
          <w:tab w:val="center" w:pos="6714"/>
        </w:tabs>
        <w:ind w:left="0" w:firstLine="0"/>
      </w:pPr>
      <w:r>
        <w:rPr>
          <w:rFonts w:ascii="Calibri" w:eastAsia="Calibri" w:hAnsi="Calibri" w:cs="Calibri"/>
          <w:sz w:val="22"/>
        </w:rPr>
        <w:tab/>
      </w:r>
      <w:r>
        <w:t xml:space="preserve">Gains qualifying for entrepreneurs’ relief  </w:t>
      </w:r>
      <w:r>
        <w:tab/>
        <w:t xml:space="preserve"> </w:t>
      </w:r>
      <w:r>
        <w:tab/>
        <w:t xml:space="preserve"> </w:t>
      </w:r>
      <w:r>
        <w:tab/>
        <w:t xml:space="preserve">= £5,000 taxed at 10% </w:t>
      </w:r>
    </w:p>
    <w:p w14:paraId="3978A283" w14:textId="77777777" w:rsidR="00E94B6E" w:rsidRDefault="00C90CA1">
      <w:pPr>
        <w:spacing w:after="14" w:line="259" w:lineRule="auto"/>
        <w:ind w:left="427" w:firstLine="0"/>
      </w:pPr>
      <w:r>
        <w:t xml:space="preserve"> </w:t>
      </w:r>
    </w:p>
    <w:p w14:paraId="63FF4564" w14:textId="77777777" w:rsidR="00E94B6E" w:rsidRDefault="00C90CA1">
      <w:pPr>
        <w:tabs>
          <w:tab w:val="center" w:pos="771"/>
          <w:tab w:val="center" w:pos="1440"/>
          <w:tab w:val="center" w:pos="2160"/>
          <w:tab w:val="center" w:pos="2881"/>
          <w:tab w:val="center" w:pos="3601"/>
          <w:tab w:val="center" w:pos="4321"/>
          <w:tab w:val="center" w:pos="5041"/>
          <w:tab w:val="center" w:pos="5761"/>
          <w:tab w:val="center" w:pos="6905"/>
        </w:tabs>
        <w:ind w:left="0" w:firstLine="0"/>
      </w:pPr>
      <w:r>
        <w:rPr>
          <w:rFonts w:ascii="Calibri" w:eastAsia="Calibri" w:hAnsi="Calibri" w:cs="Calibri"/>
          <w:sz w:val="22"/>
        </w:rPr>
        <w:tab/>
      </w:r>
      <w:r>
        <w:t xml:space="preserve">Balance  </w:t>
      </w:r>
      <w:r>
        <w:tab/>
        <w:t xml:space="preserve"> </w:t>
      </w:r>
      <w:r>
        <w:tab/>
        <w:t xml:space="preserve"> </w:t>
      </w:r>
      <w:r>
        <w:tab/>
        <w:t xml:space="preserve"> </w:t>
      </w:r>
      <w:r>
        <w:tab/>
        <w:t xml:space="preserve"> </w:t>
      </w:r>
      <w:r>
        <w:tab/>
        <w:t xml:space="preserve"> </w:t>
      </w:r>
      <w:r>
        <w:tab/>
        <w:t xml:space="preserve"> </w:t>
      </w:r>
      <w:r>
        <w:tab/>
        <w:t xml:space="preserve"> </w:t>
      </w:r>
      <w:r>
        <w:tab/>
        <w:t xml:space="preserve">= £40,000 </w:t>
      </w:r>
    </w:p>
    <w:p w14:paraId="53160A4F" w14:textId="77777777" w:rsidR="00E94B6E" w:rsidRDefault="00C90CA1">
      <w:pPr>
        <w:spacing w:after="18" w:line="259" w:lineRule="auto"/>
        <w:ind w:left="427" w:firstLine="0"/>
      </w:pPr>
      <w:r>
        <w:t xml:space="preserve"> </w:t>
      </w:r>
    </w:p>
    <w:p w14:paraId="0F9651A4" w14:textId="6BB47082" w:rsidR="00E94B6E" w:rsidRDefault="00C90CA1">
      <w:pPr>
        <w:tabs>
          <w:tab w:val="center" w:pos="2677"/>
          <w:tab w:val="center" w:pos="5761"/>
          <w:tab w:val="center" w:pos="6853"/>
        </w:tabs>
        <w:ind w:left="0" w:firstLine="0"/>
      </w:pPr>
      <w:r>
        <w:rPr>
          <w:rFonts w:ascii="Calibri" w:eastAsia="Calibri" w:hAnsi="Calibri" w:cs="Calibri"/>
          <w:sz w:val="22"/>
        </w:rPr>
        <w:tab/>
      </w:r>
      <w:r>
        <w:t>Unused Basic Rate Tax Balance (£3</w:t>
      </w:r>
      <w:r w:rsidR="00157849">
        <w:t>7,7</w:t>
      </w:r>
      <w:r>
        <w:t xml:space="preserve">00 – £25,000)   </w:t>
      </w:r>
      <w:r>
        <w:tab/>
        <w:t xml:space="preserve"> </w:t>
      </w:r>
      <w:r>
        <w:tab/>
        <w:t>= £</w:t>
      </w:r>
      <w:r w:rsidR="00157849">
        <w:t>12,700</w:t>
      </w:r>
      <w:r>
        <w:t xml:space="preserve"> </w:t>
      </w:r>
    </w:p>
    <w:p w14:paraId="71A67467" w14:textId="1221B984" w:rsidR="00157849" w:rsidRDefault="00C90CA1">
      <w:pPr>
        <w:tabs>
          <w:tab w:val="center" w:pos="2270"/>
          <w:tab w:val="center" w:pos="5041"/>
          <w:tab w:val="center" w:pos="5761"/>
          <w:tab w:val="center" w:pos="6943"/>
        </w:tabs>
        <w:ind w:left="0" w:firstLine="0"/>
      </w:pPr>
      <w:r>
        <w:rPr>
          <w:rFonts w:ascii="Calibri" w:eastAsia="Calibri" w:hAnsi="Calibri" w:cs="Calibri"/>
          <w:sz w:val="22"/>
        </w:rPr>
        <w:tab/>
      </w:r>
      <w:r w:rsidR="00C761A3">
        <w:t xml:space="preserve">                                                                             </w:t>
      </w:r>
      <w:r w:rsidR="00157849">
        <w:t xml:space="preserve">                                            </w:t>
      </w:r>
      <w:r w:rsidR="00C761A3">
        <w:t>=</w:t>
      </w:r>
      <w:r w:rsidR="00157849">
        <w:t xml:space="preserve"> </w:t>
      </w:r>
      <w:r w:rsidR="00C761A3">
        <w:t>(</w:t>
      </w:r>
      <w:r w:rsidR="00157849">
        <w:t xml:space="preserve"> £5,000</w:t>
      </w:r>
      <w:r w:rsidR="00C761A3">
        <w:t>)</w:t>
      </w:r>
    </w:p>
    <w:p w14:paraId="584DCC40" w14:textId="03AB6234" w:rsidR="00157849" w:rsidRDefault="00157849">
      <w:pPr>
        <w:tabs>
          <w:tab w:val="center" w:pos="2270"/>
          <w:tab w:val="center" w:pos="5041"/>
          <w:tab w:val="center" w:pos="5761"/>
          <w:tab w:val="center" w:pos="6943"/>
        </w:tabs>
        <w:ind w:left="0" w:firstLine="0"/>
      </w:pPr>
      <w:r>
        <w:t xml:space="preserve">        </w:t>
      </w:r>
      <w:r w:rsidR="00C761A3">
        <w:t xml:space="preserve">Less gain qualifying for entrepreneur’s relief     </w:t>
      </w:r>
      <w:r>
        <w:t xml:space="preserve">                                       </w:t>
      </w:r>
      <w:r w:rsidR="00C761A3">
        <w:t>=</w:t>
      </w:r>
      <w:r>
        <w:t xml:space="preserve">   £7,700</w:t>
      </w:r>
    </w:p>
    <w:p w14:paraId="14C6CB5C" w14:textId="17109164" w:rsidR="00E94B6E" w:rsidRDefault="00C90CA1">
      <w:pPr>
        <w:tabs>
          <w:tab w:val="center" w:pos="2270"/>
          <w:tab w:val="center" w:pos="5041"/>
          <w:tab w:val="center" w:pos="5761"/>
          <w:tab w:val="center" w:pos="6943"/>
        </w:tabs>
        <w:ind w:left="0" w:firstLine="0"/>
      </w:pPr>
      <w:r>
        <w:t xml:space="preserve">   </w:t>
      </w:r>
      <w:r>
        <w:tab/>
        <w:t xml:space="preserve"> </w:t>
      </w:r>
      <w:r>
        <w:tab/>
        <w:t xml:space="preserve"> </w:t>
      </w:r>
    </w:p>
    <w:p w14:paraId="2974468A" w14:textId="77777777" w:rsidR="00E94B6E" w:rsidRDefault="00C90CA1">
      <w:pPr>
        <w:spacing w:after="14" w:line="259" w:lineRule="auto"/>
        <w:ind w:left="427" w:firstLine="0"/>
      </w:pPr>
      <w:r>
        <w:t xml:space="preserve"> </w:t>
      </w:r>
    </w:p>
    <w:p w14:paraId="6CC2E5DC" w14:textId="08E32D3E" w:rsidR="00E94B6E" w:rsidRDefault="00C90CA1">
      <w:pPr>
        <w:ind w:left="422"/>
      </w:pPr>
      <w:r>
        <w:t>£</w:t>
      </w:r>
      <w:r w:rsidR="00C761A3">
        <w:t>7</w:t>
      </w:r>
      <w:r>
        <w:t>,</w:t>
      </w:r>
      <w:r w:rsidR="00C761A3">
        <w:t>7</w:t>
      </w:r>
      <w:r>
        <w:t xml:space="preserve">00 = charged at 18% (or 10% depending on type of asset on which gain is made).   </w:t>
      </w:r>
    </w:p>
    <w:p w14:paraId="0BF91EF0" w14:textId="77777777" w:rsidR="00E94B6E" w:rsidRDefault="00C90CA1">
      <w:pPr>
        <w:spacing w:after="17" w:line="259" w:lineRule="auto"/>
        <w:ind w:left="427" w:firstLine="0"/>
      </w:pPr>
      <w:r>
        <w:t xml:space="preserve"> </w:t>
      </w:r>
    </w:p>
    <w:p w14:paraId="6F2493F5" w14:textId="56A1E19A" w:rsidR="00E94B6E" w:rsidRDefault="00C90CA1">
      <w:pPr>
        <w:tabs>
          <w:tab w:val="center" w:pos="2206"/>
          <w:tab w:val="center" w:pos="4321"/>
          <w:tab w:val="center" w:pos="5041"/>
          <w:tab w:val="center" w:pos="5761"/>
          <w:tab w:val="center" w:pos="6906"/>
        </w:tabs>
        <w:ind w:left="0" w:firstLine="0"/>
      </w:pPr>
      <w:r>
        <w:rPr>
          <w:rFonts w:ascii="Calibri" w:eastAsia="Calibri" w:hAnsi="Calibri" w:cs="Calibri"/>
          <w:sz w:val="22"/>
        </w:rPr>
        <w:tab/>
      </w:r>
      <w:r>
        <w:t>£40,000-£</w:t>
      </w:r>
      <w:r w:rsidR="00AD61DE">
        <w:t>7,7</w:t>
      </w:r>
      <w:r>
        <w:t xml:space="preserve">00 (charged at 18% or 10%))  </w:t>
      </w:r>
      <w:r>
        <w:tab/>
        <w:t xml:space="preserve"> </w:t>
      </w:r>
      <w:r>
        <w:tab/>
        <w:t xml:space="preserve"> </w:t>
      </w:r>
      <w:r>
        <w:tab/>
        <w:t xml:space="preserve"> </w:t>
      </w:r>
      <w:r>
        <w:tab/>
        <w:t>= £3</w:t>
      </w:r>
      <w:r w:rsidR="00AD61DE">
        <w:t>2,300</w:t>
      </w:r>
      <w:r>
        <w:t xml:space="preserve">  </w:t>
      </w:r>
    </w:p>
    <w:p w14:paraId="09C69F0F" w14:textId="781A039E" w:rsidR="00480ACC" w:rsidRDefault="00480ACC">
      <w:pPr>
        <w:tabs>
          <w:tab w:val="center" w:pos="1468"/>
          <w:tab w:val="center" w:pos="2881"/>
          <w:tab w:val="center" w:pos="3601"/>
          <w:tab w:val="center" w:pos="4321"/>
          <w:tab w:val="center" w:pos="5041"/>
          <w:tab w:val="center" w:pos="5761"/>
          <w:tab w:val="center" w:pos="6996"/>
        </w:tabs>
        <w:ind w:left="0" w:firstLine="0"/>
        <w:rPr>
          <w:rFonts w:ascii="Calibri" w:eastAsia="Calibri" w:hAnsi="Calibri" w:cs="Calibri"/>
          <w:sz w:val="22"/>
        </w:rPr>
      </w:pPr>
      <w:r>
        <w:rPr>
          <w:rFonts w:ascii="Calibri" w:eastAsia="Calibri" w:hAnsi="Calibri" w:cs="Calibri"/>
          <w:sz w:val="22"/>
        </w:rPr>
        <w:t xml:space="preserve">                                                                                                                                 =(£12,</w:t>
      </w:r>
      <w:r w:rsidR="003F349C">
        <w:rPr>
          <w:rFonts w:ascii="Calibri" w:eastAsia="Calibri" w:hAnsi="Calibri" w:cs="Calibri"/>
          <w:sz w:val="22"/>
        </w:rPr>
        <w:t>570</w:t>
      </w:r>
      <w:r>
        <w:rPr>
          <w:rFonts w:ascii="Calibri" w:eastAsia="Calibri" w:hAnsi="Calibri" w:cs="Calibri"/>
          <w:sz w:val="22"/>
        </w:rPr>
        <w:t>)</w:t>
      </w:r>
    </w:p>
    <w:p w14:paraId="4C1F98A5" w14:textId="59E3C881" w:rsidR="00480ACC" w:rsidRDefault="00C90CA1">
      <w:pPr>
        <w:tabs>
          <w:tab w:val="center" w:pos="1468"/>
          <w:tab w:val="center" w:pos="2881"/>
          <w:tab w:val="center" w:pos="3601"/>
          <w:tab w:val="center" w:pos="4321"/>
          <w:tab w:val="center" w:pos="5041"/>
          <w:tab w:val="center" w:pos="5761"/>
          <w:tab w:val="center" w:pos="6996"/>
        </w:tabs>
        <w:ind w:left="0" w:firstLine="0"/>
      </w:pPr>
      <w:r>
        <w:rPr>
          <w:rFonts w:ascii="Calibri" w:eastAsia="Calibri" w:hAnsi="Calibri" w:cs="Calibri"/>
          <w:sz w:val="22"/>
        </w:rPr>
        <w:tab/>
      </w:r>
      <w:r>
        <w:t xml:space="preserve">Less personal allowance  </w:t>
      </w:r>
      <w:r>
        <w:tab/>
        <w:t xml:space="preserve"> </w:t>
      </w:r>
      <w:r>
        <w:tab/>
        <w:t xml:space="preserve"> </w:t>
      </w:r>
      <w:r>
        <w:tab/>
        <w:t xml:space="preserve"> </w:t>
      </w:r>
      <w:r>
        <w:tab/>
        <w:t xml:space="preserve"> </w:t>
      </w:r>
      <w:r>
        <w:tab/>
        <w:t xml:space="preserve"> </w:t>
      </w:r>
      <w:r w:rsidR="00480ACC">
        <w:t xml:space="preserve">                          =£</w:t>
      </w:r>
      <w:r w:rsidR="003F349C">
        <w:t>19</w:t>
      </w:r>
      <w:r w:rsidR="00480ACC">
        <w:t>,</w:t>
      </w:r>
      <w:r w:rsidR="003F349C">
        <w:t>730</w:t>
      </w:r>
    </w:p>
    <w:p w14:paraId="694D15BD" w14:textId="080BEA13" w:rsidR="00E94B6E" w:rsidRDefault="00C90CA1">
      <w:pPr>
        <w:tabs>
          <w:tab w:val="center" w:pos="1468"/>
          <w:tab w:val="center" w:pos="2881"/>
          <w:tab w:val="center" w:pos="3601"/>
          <w:tab w:val="center" w:pos="4321"/>
          <w:tab w:val="center" w:pos="5041"/>
          <w:tab w:val="center" w:pos="5761"/>
          <w:tab w:val="center" w:pos="6996"/>
        </w:tabs>
        <w:ind w:left="0" w:firstLine="0"/>
      </w:pPr>
      <w:r>
        <w:t xml:space="preserve"> </w:t>
      </w:r>
    </w:p>
    <w:p w14:paraId="4D47D7B0" w14:textId="77777777" w:rsidR="00E94B6E" w:rsidRDefault="00C90CA1">
      <w:pPr>
        <w:spacing w:after="17" w:line="259" w:lineRule="auto"/>
        <w:ind w:left="427" w:firstLine="0"/>
      </w:pPr>
      <w:r>
        <w:t xml:space="preserve"> </w:t>
      </w:r>
    </w:p>
    <w:p w14:paraId="582A6795" w14:textId="23290F82" w:rsidR="00E94B6E" w:rsidRDefault="00C90CA1">
      <w:pPr>
        <w:ind w:left="422"/>
      </w:pPr>
      <w:r>
        <w:t>£</w:t>
      </w:r>
      <w:r w:rsidR="003F349C">
        <w:t>19</w:t>
      </w:r>
      <w:r w:rsidR="00480ACC">
        <w:t>,</w:t>
      </w:r>
      <w:r w:rsidR="003F349C">
        <w:t>730</w:t>
      </w:r>
      <w:r>
        <w:t xml:space="preserve"> = charged at 28% (or 20%) </w:t>
      </w:r>
    </w:p>
    <w:p w14:paraId="6DD4A780" w14:textId="77777777" w:rsidR="00E94B6E" w:rsidRDefault="00C90CA1">
      <w:pPr>
        <w:spacing w:after="17" w:line="259" w:lineRule="auto"/>
        <w:ind w:left="427" w:firstLine="0"/>
      </w:pPr>
      <w:r>
        <w:t xml:space="preserve"> </w:t>
      </w:r>
    </w:p>
    <w:p w14:paraId="122ADAAE" w14:textId="77777777" w:rsidR="00E94B6E" w:rsidRDefault="00C90CA1">
      <w:pPr>
        <w:spacing w:after="17" w:line="259" w:lineRule="auto"/>
        <w:ind w:left="427" w:firstLine="0"/>
      </w:pPr>
      <w:r>
        <w:t xml:space="preserve"> </w:t>
      </w:r>
    </w:p>
    <w:p w14:paraId="1113FE62" w14:textId="77777777" w:rsidR="00E94B6E" w:rsidRDefault="00C90CA1">
      <w:pPr>
        <w:ind w:left="422"/>
      </w:pPr>
      <w:r>
        <w:t xml:space="preserve">Relevant section of the manual is Part 2 Chapter 3 </w:t>
      </w:r>
    </w:p>
    <w:p w14:paraId="4712BFC8" w14:textId="77777777" w:rsidR="00E94B6E" w:rsidRDefault="00C90CA1">
      <w:pPr>
        <w:spacing w:after="12"/>
        <w:ind w:left="10" w:right="38"/>
        <w:jc w:val="right"/>
      </w:pPr>
      <w:r>
        <w:rPr>
          <w:b/>
        </w:rPr>
        <w:t xml:space="preserve">10 marks </w:t>
      </w:r>
    </w:p>
    <w:p w14:paraId="35542EC1" w14:textId="77777777" w:rsidR="00E94B6E" w:rsidRDefault="00C90CA1">
      <w:pPr>
        <w:spacing w:after="26" w:line="259" w:lineRule="auto"/>
        <w:ind w:left="0" w:firstLine="0"/>
      </w:pPr>
      <w:r>
        <w:rPr>
          <w:b/>
        </w:rPr>
        <w:t xml:space="preserve">  </w:t>
      </w:r>
    </w:p>
    <w:p w14:paraId="79926672" w14:textId="77777777" w:rsidR="00E94B6E" w:rsidRDefault="00C90CA1">
      <w:pPr>
        <w:spacing w:after="7" w:line="259" w:lineRule="auto"/>
        <w:ind w:left="0" w:firstLine="0"/>
      </w:pPr>
      <w:r>
        <w:rPr>
          <w:b/>
          <w:sz w:val="20"/>
        </w:rPr>
        <w:t xml:space="preserve"> </w:t>
      </w:r>
    </w:p>
    <w:p w14:paraId="0071166F" w14:textId="54248541" w:rsidR="00E94B6E" w:rsidRDefault="00C90CA1">
      <w:pPr>
        <w:numPr>
          <w:ilvl w:val="0"/>
          <w:numId w:val="1"/>
        </w:numPr>
        <w:spacing w:after="4" w:line="250" w:lineRule="auto"/>
        <w:ind w:hanging="427"/>
      </w:pPr>
      <w:r>
        <w:rPr>
          <w:b/>
        </w:rPr>
        <w:t xml:space="preserve">You are a financial </w:t>
      </w:r>
      <w:r w:rsidR="006C495E">
        <w:rPr>
          <w:b/>
        </w:rPr>
        <w:t>adviser,</w:t>
      </w:r>
      <w:r>
        <w:rPr>
          <w:b/>
        </w:rPr>
        <w:t xml:space="preserve"> and your firm is shortly to publish its quarterly newsletter during a period when the economy is in recession. Write an article for the newsletter outlining the characteristics of an economic recession. Your article should also </w:t>
      </w:r>
      <w:proofErr w:type="gramStart"/>
      <w:r>
        <w:rPr>
          <w:b/>
        </w:rPr>
        <w:t>make reference</w:t>
      </w:r>
      <w:proofErr w:type="gramEnd"/>
      <w:r>
        <w:rPr>
          <w:b/>
        </w:rPr>
        <w:t xml:space="preserve"> to the three other main stages involved in an economic cycle and their respective features. </w:t>
      </w:r>
    </w:p>
    <w:p w14:paraId="0D764CE9" w14:textId="77777777" w:rsidR="00E94B6E" w:rsidRDefault="00C90CA1">
      <w:pPr>
        <w:spacing w:after="0" w:line="259" w:lineRule="auto"/>
        <w:ind w:left="427" w:firstLine="0"/>
      </w:pPr>
      <w:r>
        <w:rPr>
          <w:b/>
        </w:rPr>
        <w:t xml:space="preserve"> </w:t>
      </w:r>
    </w:p>
    <w:p w14:paraId="0E713D0C" w14:textId="77777777" w:rsidR="00E94B6E" w:rsidRDefault="00C90CA1">
      <w:pPr>
        <w:spacing w:after="12"/>
        <w:ind w:left="10" w:right="38"/>
        <w:jc w:val="right"/>
      </w:pPr>
      <w:r>
        <w:rPr>
          <w:b/>
        </w:rPr>
        <w:t xml:space="preserve">20 marks </w:t>
      </w:r>
    </w:p>
    <w:p w14:paraId="293FAF65" w14:textId="77777777" w:rsidR="00E94B6E" w:rsidRDefault="00C90CA1">
      <w:pPr>
        <w:spacing w:after="17" w:line="259" w:lineRule="auto"/>
        <w:ind w:left="0" w:firstLine="0"/>
      </w:pPr>
      <w:r>
        <w:rPr>
          <w:b/>
        </w:rPr>
        <w:t xml:space="preserve"> </w:t>
      </w:r>
    </w:p>
    <w:p w14:paraId="0B38701A" w14:textId="77777777" w:rsidR="00E94B6E" w:rsidRDefault="00C90CA1">
      <w:pPr>
        <w:ind w:left="422"/>
      </w:pPr>
      <w:r>
        <w:t xml:space="preserve">As this question asks for a specific format a small number of marks around 2 or 3 are available for this aspect. </w:t>
      </w:r>
    </w:p>
    <w:p w14:paraId="0F314C55" w14:textId="77777777" w:rsidR="00E94B6E" w:rsidRDefault="00C90CA1">
      <w:pPr>
        <w:spacing w:after="17" w:line="259" w:lineRule="auto"/>
        <w:ind w:left="427" w:firstLine="0"/>
      </w:pPr>
      <w:r>
        <w:t xml:space="preserve"> </w:t>
      </w:r>
    </w:p>
    <w:p w14:paraId="231F1284" w14:textId="77777777" w:rsidR="006C495E" w:rsidRDefault="00C90CA1">
      <w:pPr>
        <w:ind w:left="422"/>
      </w:pPr>
      <w:r>
        <w:t xml:space="preserve">In addition to the features of a recession, including: </w:t>
      </w:r>
    </w:p>
    <w:p w14:paraId="3DEBAFD1" w14:textId="77777777" w:rsidR="006C495E" w:rsidRDefault="006C495E">
      <w:pPr>
        <w:ind w:left="422"/>
      </w:pPr>
      <w:r w:rsidRPr="006C495E">
        <w:t xml:space="preserve">• declining aggregate demand for output </w:t>
      </w:r>
    </w:p>
    <w:p w14:paraId="386CB027" w14:textId="77777777" w:rsidR="006C495E" w:rsidRDefault="006C495E">
      <w:pPr>
        <w:ind w:left="422"/>
      </w:pPr>
      <w:r w:rsidRPr="006C495E">
        <w:t xml:space="preserve">• contracting employment / rising unemployment </w:t>
      </w:r>
    </w:p>
    <w:p w14:paraId="0F1A5FFA" w14:textId="77777777" w:rsidR="006C495E" w:rsidRDefault="006C495E">
      <w:pPr>
        <w:ind w:left="422"/>
      </w:pPr>
      <w:r w:rsidRPr="006C495E">
        <w:t xml:space="preserve">• a sharp fall in business confidence and profits and a decrease in capital investment spending </w:t>
      </w:r>
    </w:p>
    <w:p w14:paraId="22961798" w14:textId="77777777" w:rsidR="006C495E" w:rsidRDefault="006C495E">
      <w:pPr>
        <w:ind w:left="422"/>
      </w:pPr>
      <w:r w:rsidRPr="006C495E">
        <w:t xml:space="preserve">• de-stocking and heavy price discounting </w:t>
      </w:r>
    </w:p>
    <w:p w14:paraId="5F21867D" w14:textId="77777777" w:rsidR="006C495E" w:rsidRDefault="006C495E">
      <w:pPr>
        <w:ind w:left="422"/>
      </w:pPr>
      <w:r w:rsidRPr="006C495E">
        <w:t xml:space="preserve">• reduced inflationary pressure and falling demand for imports </w:t>
      </w:r>
    </w:p>
    <w:p w14:paraId="10F93F68" w14:textId="77777777" w:rsidR="006C495E" w:rsidRDefault="006C495E">
      <w:pPr>
        <w:ind w:left="422"/>
      </w:pPr>
      <w:r w:rsidRPr="006C495E">
        <w:t xml:space="preserve">• increased Government borrowing </w:t>
      </w:r>
    </w:p>
    <w:p w14:paraId="4AA186A0" w14:textId="2539788D" w:rsidR="00E94B6E" w:rsidRDefault="006C495E" w:rsidP="00697FF6">
      <w:pPr>
        <w:ind w:left="422"/>
      </w:pPr>
      <w:r w:rsidRPr="006C495E">
        <w:t>• lower interest rates from central bank.</w:t>
      </w:r>
    </w:p>
    <w:p w14:paraId="31B67BD2" w14:textId="77777777" w:rsidR="00E94B6E" w:rsidRDefault="00C90CA1">
      <w:pPr>
        <w:spacing w:after="14" w:line="259" w:lineRule="auto"/>
        <w:ind w:left="427" w:firstLine="0"/>
      </w:pPr>
      <w:r>
        <w:t xml:space="preserve"> </w:t>
      </w:r>
    </w:p>
    <w:p w14:paraId="39B0F8CA" w14:textId="28D26D3A" w:rsidR="006C495E" w:rsidRDefault="00C90CA1">
      <w:pPr>
        <w:ind w:left="422"/>
      </w:pPr>
      <w:r>
        <w:t xml:space="preserve">Answers should include reference to </w:t>
      </w:r>
    </w:p>
    <w:p w14:paraId="2BB4FFCC" w14:textId="77777777" w:rsidR="00697FF6" w:rsidRDefault="00697FF6">
      <w:pPr>
        <w:ind w:left="422"/>
      </w:pPr>
    </w:p>
    <w:p w14:paraId="029ECCAA" w14:textId="46643F2F" w:rsidR="006C495E" w:rsidRDefault="006C495E">
      <w:pPr>
        <w:ind w:left="422"/>
      </w:pPr>
      <w:r>
        <w:t>E</w:t>
      </w:r>
      <w:r w:rsidR="00C90CA1">
        <w:t>conomic boom</w:t>
      </w:r>
      <w:r>
        <w:t xml:space="preserve">. </w:t>
      </w:r>
      <w:r w:rsidRPr="006C495E">
        <w:t xml:space="preserve">A boom occurs when national output is rising strongly. This is likely to be at a rate which is faster than the trend rate of growth (or long-term growth rate) of about 2.5% per year. In these conditions, output and employment will both be expanding and the level of demand for goods </w:t>
      </w:r>
      <w:r w:rsidRPr="006C495E">
        <w:lastRenderedPageBreak/>
        <w:t>and services is likely to be very high. Typically, businesses will use this opportunity to raise output and to widen their profit margins.</w:t>
      </w:r>
    </w:p>
    <w:p w14:paraId="0ED8B808" w14:textId="77777777" w:rsidR="00697FF6" w:rsidRDefault="00697FF6">
      <w:pPr>
        <w:ind w:left="422"/>
      </w:pPr>
    </w:p>
    <w:p w14:paraId="5DC56300" w14:textId="2B18C919" w:rsidR="006C495E" w:rsidRDefault="006C495E">
      <w:pPr>
        <w:ind w:left="422"/>
      </w:pPr>
      <w:r>
        <w:t xml:space="preserve">Slowdown - </w:t>
      </w:r>
      <w:r w:rsidRPr="006C495E">
        <w:t>A slowdown occurs when national output is still rising but the rate of growth slows. If the economy can continue to grow at a slower rate without falling into recession, this is known as a “soft-landing”.</w:t>
      </w:r>
    </w:p>
    <w:p w14:paraId="70E794C7" w14:textId="77777777" w:rsidR="00697FF6" w:rsidRDefault="00697FF6">
      <w:pPr>
        <w:ind w:left="422"/>
      </w:pPr>
    </w:p>
    <w:p w14:paraId="40B8FD02" w14:textId="61990511" w:rsidR="00E94B6E" w:rsidRDefault="00697FF6">
      <w:pPr>
        <w:ind w:left="422"/>
      </w:pPr>
      <w:r>
        <w:t>R</w:t>
      </w:r>
      <w:r w:rsidR="00C90CA1">
        <w:t xml:space="preserve">ecovery. </w:t>
      </w:r>
      <w:r w:rsidR="006C495E" w:rsidRPr="006C495E">
        <w:t>A recovery occurs when national output picks up from the low point of the recession.</w:t>
      </w:r>
    </w:p>
    <w:p w14:paraId="13CF07C7" w14:textId="77777777" w:rsidR="00E94B6E" w:rsidRDefault="00C90CA1">
      <w:pPr>
        <w:spacing w:after="17" w:line="259" w:lineRule="auto"/>
        <w:ind w:left="0" w:firstLine="0"/>
      </w:pPr>
      <w:r>
        <w:t xml:space="preserve"> </w:t>
      </w:r>
    </w:p>
    <w:p w14:paraId="086A0CCD" w14:textId="77777777" w:rsidR="00E94B6E" w:rsidRDefault="00C90CA1">
      <w:pPr>
        <w:ind w:left="422"/>
      </w:pPr>
      <w:r>
        <w:t xml:space="preserve">Relevant section of the manual is Part 3 Chapter 1.3 </w:t>
      </w:r>
    </w:p>
    <w:p w14:paraId="6779CE17" w14:textId="77777777" w:rsidR="00E94B6E" w:rsidRDefault="00C90CA1">
      <w:pPr>
        <w:spacing w:after="12"/>
        <w:ind w:left="10" w:right="38"/>
        <w:jc w:val="right"/>
      </w:pPr>
      <w:r>
        <w:rPr>
          <w:b/>
        </w:rPr>
        <w:t xml:space="preserve">20 marks  </w:t>
      </w:r>
      <w:r>
        <w:rPr>
          <w:b/>
        </w:rPr>
        <w:tab/>
        <w:t xml:space="preserve"> </w:t>
      </w:r>
    </w:p>
    <w:p w14:paraId="46E43C58" w14:textId="77777777" w:rsidR="00E94B6E" w:rsidRDefault="00C90CA1">
      <w:pPr>
        <w:numPr>
          <w:ilvl w:val="0"/>
          <w:numId w:val="1"/>
        </w:numPr>
        <w:spacing w:after="4" w:line="250" w:lineRule="auto"/>
        <w:ind w:hanging="427"/>
      </w:pPr>
      <w:r>
        <w:rPr>
          <w:b/>
        </w:rPr>
        <w:t xml:space="preserve">In the context of preparing a computation for inheritance tax purposes: </w:t>
      </w:r>
    </w:p>
    <w:p w14:paraId="3CEBDCB4" w14:textId="77777777" w:rsidR="00E94B6E" w:rsidRDefault="00C90CA1">
      <w:pPr>
        <w:spacing w:after="17" w:line="259" w:lineRule="auto"/>
        <w:ind w:left="0" w:firstLine="0"/>
      </w:pPr>
      <w:r>
        <w:rPr>
          <w:b/>
        </w:rPr>
        <w:t xml:space="preserve"> </w:t>
      </w:r>
    </w:p>
    <w:p w14:paraId="3F7EABF9" w14:textId="77777777" w:rsidR="00E94B6E" w:rsidRDefault="00C90CA1">
      <w:pPr>
        <w:numPr>
          <w:ilvl w:val="1"/>
          <w:numId w:val="2"/>
        </w:numPr>
        <w:spacing w:after="4" w:line="250" w:lineRule="auto"/>
        <w:ind w:right="273" w:hanging="425"/>
      </w:pPr>
      <w:r>
        <w:rPr>
          <w:b/>
        </w:rPr>
        <w:t xml:space="preserve">Identify the questions which should be asked to establish whether a transfer is chargeable and if so, to determine the amount of inheritance tax payable.  </w:t>
      </w:r>
    </w:p>
    <w:p w14:paraId="79984D57" w14:textId="77777777" w:rsidR="00E94B6E" w:rsidRDefault="00C90CA1">
      <w:pPr>
        <w:numPr>
          <w:ilvl w:val="1"/>
          <w:numId w:val="2"/>
        </w:numPr>
        <w:spacing w:after="4" w:line="250" w:lineRule="auto"/>
        <w:ind w:right="273" w:hanging="425"/>
      </w:pPr>
      <w:r>
        <w:rPr>
          <w:b/>
        </w:rPr>
        <w:t xml:space="preserve">Outline the factors which need to be considered in respect of lifetime transfers. (c) Outline the factors which need to be considered when an individual dies. </w:t>
      </w:r>
    </w:p>
    <w:p w14:paraId="62DBF34C" w14:textId="77777777" w:rsidR="00E94B6E" w:rsidRDefault="00C90CA1">
      <w:pPr>
        <w:spacing w:after="17" w:line="259" w:lineRule="auto"/>
        <w:ind w:left="0" w:firstLine="0"/>
      </w:pPr>
      <w:r>
        <w:rPr>
          <w:b/>
        </w:rPr>
        <w:t xml:space="preserve"> </w:t>
      </w:r>
    </w:p>
    <w:p w14:paraId="2B118BA5" w14:textId="77777777" w:rsidR="00E94B6E" w:rsidRDefault="00C90CA1">
      <w:pPr>
        <w:spacing w:after="12"/>
        <w:ind w:left="10" w:right="38"/>
        <w:jc w:val="right"/>
      </w:pPr>
      <w:r>
        <w:rPr>
          <w:b/>
        </w:rPr>
        <w:t xml:space="preserve">20 marks </w:t>
      </w:r>
    </w:p>
    <w:p w14:paraId="5B26F508" w14:textId="77777777" w:rsidR="00E94B6E" w:rsidRDefault="00C90CA1">
      <w:pPr>
        <w:spacing w:after="7" w:line="259" w:lineRule="auto"/>
        <w:ind w:left="0" w:firstLine="0"/>
      </w:pPr>
      <w:r>
        <w:rPr>
          <w:b/>
          <w:sz w:val="20"/>
        </w:rPr>
        <w:t xml:space="preserve"> </w:t>
      </w:r>
    </w:p>
    <w:p w14:paraId="009327AD" w14:textId="77777777" w:rsidR="00E94B6E" w:rsidRDefault="00C90CA1">
      <w:pPr>
        <w:ind w:left="422"/>
      </w:pPr>
      <w:r>
        <w:t xml:space="preserve">Answer should </w:t>
      </w:r>
      <w:proofErr w:type="gramStart"/>
      <w:r>
        <w:t>cover;</w:t>
      </w:r>
      <w:proofErr w:type="gramEnd"/>
      <w:r>
        <w:t xml:space="preserve"> </w:t>
      </w:r>
    </w:p>
    <w:p w14:paraId="2865BD50" w14:textId="77777777" w:rsidR="00E94B6E" w:rsidRDefault="00C90CA1">
      <w:pPr>
        <w:spacing w:after="17" w:line="259" w:lineRule="auto"/>
        <w:ind w:left="427" w:firstLine="0"/>
      </w:pPr>
      <w:r>
        <w:t xml:space="preserve"> </w:t>
      </w:r>
    </w:p>
    <w:p w14:paraId="621C7902" w14:textId="77777777" w:rsidR="00E94B6E" w:rsidRDefault="00C90CA1">
      <w:pPr>
        <w:spacing w:after="29" w:line="259" w:lineRule="auto"/>
        <w:ind w:left="422"/>
      </w:pPr>
      <w:r>
        <w:rPr>
          <w:u w:val="single" w:color="000000"/>
        </w:rPr>
        <w:t>Questions:</w:t>
      </w:r>
      <w:r>
        <w:t xml:space="preserve"> </w:t>
      </w:r>
    </w:p>
    <w:p w14:paraId="795B29FC" w14:textId="77777777" w:rsidR="00E94B6E" w:rsidRDefault="00C90CA1">
      <w:pPr>
        <w:numPr>
          <w:ilvl w:val="1"/>
          <w:numId w:val="1"/>
        </w:numPr>
        <w:ind w:hanging="425"/>
      </w:pPr>
      <w:r>
        <w:t>Is there a transfer of value?</w:t>
      </w:r>
      <w:r>
        <w:rPr>
          <w:b/>
        </w:rPr>
        <w:t xml:space="preserve"> </w:t>
      </w:r>
    </w:p>
    <w:p w14:paraId="3966B26A" w14:textId="77777777" w:rsidR="00E94B6E" w:rsidRDefault="00C90CA1">
      <w:pPr>
        <w:numPr>
          <w:ilvl w:val="1"/>
          <w:numId w:val="1"/>
        </w:numPr>
        <w:ind w:hanging="425"/>
      </w:pPr>
      <w:r>
        <w:t xml:space="preserve">Is the transfer covered by one of the </w:t>
      </w:r>
      <w:proofErr w:type="gramStart"/>
      <w:r>
        <w:t>exemptions</w:t>
      </w:r>
      <w:proofErr w:type="gramEnd"/>
      <w:r>
        <w:rPr>
          <w:b/>
        </w:rPr>
        <w:t xml:space="preserve"> </w:t>
      </w:r>
    </w:p>
    <w:p w14:paraId="33D76EBD" w14:textId="77777777" w:rsidR="00E94B6E" w:rsidRDefault="00C90CA1">
      <w:pPr>
        <w:numPr>
          <w:ilvl w:val="1"/>
          <w:numId w:val="1"/>
        </w:numPr>
        <w:ind w:hanging="425"/>
      </w:pPr>
      <w:r>
        <w:t>If a lifetime transfer, is the gift a PET or immediately chargeable?</w:t>
      </w:r>
      <w:r>
        <w:rPr>
          <w:b/>
        </w:rPr>
        <w:t xml:space="preserve"> </w:t>
      </w:r>
    </w:p>
    <w:p w14:paraId="6AC02784" w14:textId="77777777" w:rsidR="00E94B6E" w:rsidRDefault="00C90CA1">
      <w:pPr>
        <w:numPr>
          <w:ilvl w:val="1"/>
          <w:numId w:val="1"/>
        </w:numPr>
        <w:ind w:hanging="425"/>
      </w:pPr>
      <w:r>
        <w:t>Following death, are there any PETs which become chargeable and were there any CLTs which must be recalculated?</w:t>
      </w:r>
      <w:r>
        <w:rPr>
          <w:b/>
        </w:rPr>
        <w:t xml:space="preserve"> </w:t>
      </w:r>
    </w:p>
    <w:p w14:paraId="68B8F181" w14:textId="77777777" w:rsidR="00E94B6E" w:rsidRDefault="00C90CA1">
      <w:pPr>
        <w:numPr>
          <w:ilvl w:val="1"/>
          <w:numId w:val="1"/>
        </w:numPr>
        <w:ind w:hanging="425"/>
      </w:pPr>
      <w:r>
        <w:t>Tax to be applied or re-applied as appropriate?</w:t>
      </w:r>
      <w:r>
        <w:rPr>
          <w:b/>
        </w:rPr>
        <w:t xml:space="preserve"> </w:t>
      </w:r>
    </w:p>
    <w:p w14:paraId="1A15DA0D" w14:textId="77777777" w:rsidR="00E94B6E" w:rsidRDefault="00C90CA1">
      <w:pPr>
        <w:numPr>
          <w:ilvl w:val="1"/>
          <w:numId w:val="1"/>
        </w:numPr>
        <w:ind w:hanging="425"/>
      </w:pPr>
      <w:r>
        <w:t xml:space="preserve">Reliefs to be </w:t>
      </w:r>
      <w:proofErr w:type="gramStart"/>
      <w:r>
        <w:t>applied?</w:t>
      </w:r>
      <w:proofErr w:type="gramEnd"/>
      <w:r>
        <w:rPr>
          <w:b/>
        </w:rPr>
        <w:t xml:space="preserve"> </w:t>
      </w:r>
    </w:p>
    <w:p w14:paraId="535AE5AF" w14:textId="77777777" w:rsidR="00E94B6E" w:rsidRDefault="00C90CA1">
      <w:pPr>
        <w:spacing w:after="0" w:line="259" w:lineRule="auto"/>
        <w:ind w:left="852" w:firstLine="0"/>
      </w:pPr>
      <w:r>
        <w:rPr>
          <w:b/>
        </w:rPr>
        <w:t xml:space="preserve"> </w:t>
      </w:r>
    </w:p>
    <w:p w14:paraId="612A56EB" w14:textId="77777777" w:rsidR="00E94B6E" w:rsidRDefault="00C90CA1">
      <w:pPr>
        <w:spacing w:after="29" w:line="259" w:lineRule="auto"/>
        <w:ind w:left="422"/>
      </w:pPr>
      <w:r>
        <w:rPr>
          <w:u w:val="single" w:color="000000"/>
        </w:rPr>
        <w:t>Lifetime transfers:</w:t>
      </w:r>
      <w:r>
        <w:t xml:space="preserve"> </w:t>
      </w:r>
    </w:p>
    <w:p w14:paraId="3055683D" w14:textId="77777777" w:rsidR="00E94B6E" w:rsidRDefault="00C90CA1">
      <w:pPr>
        <w:numPr>
          <w:ilvl w:val="1"/>
          <w:numId w:val="1"/>
        </w:numPr>
        <w:ind w:hanging="425"/>
      </w:pPr>
      <w:r>
        <w:t>Amount of transfer of value</w:t>
      </w:r>
      <w:r>
        <w:rPr>
          <w:b/>
        </w:rPr>
        <w:t xml:space="preserve"> </w:t>
      </w:r>
    </w:p>
    <w:p w14:paraId="578CB118" w14:textId="77777777" w:rsidR="00E94B6E" w:rsidRDefault="00C90CA1">
      <w:pPr>
        <w:numPr>
          <w:ilvl w:val="1"/>
          <w:numId w:val="1"/>
        </w:numPr>
        <w:ind w:hanging="425"/>
      </w:pPr>
      <w:r>
        <w:t>Agricultural or business property rates to be applied</w:t>
      </w:r>
      <w:r>
        <w:rPr>
          <w:b/>
        </w:rPr>
        <w:t xml:space="preserve"> </w:t>
      </w:r>
    </w:p>
    <w:p w14:paraId="4B72C3C1" w14:textId="77777777" w:rsidR="00E94B6E" w:rsidRDefault="00C90CA1">
      <w:pPr>
        <w:numPr>
          <w:ilvl w:val="1"/>
          <w:numId w:val="1"/>
        </w:numPr>
        <w:ind w:hanging="425"/>
      </w:pPr>
      <w:r>
        <w:t>Annual exemptions available</w:t>
      </w:r>
      <w:r>
        <w:rPr>
          <w:b/>
        </w:rPr>
        <w:t xml:space="preserve"> </w:t>
      </w:r>
    </w:p>
    <w:p w14:paraId="0CCC9B62" w14:textId="77777777" w:rsidR="00E94B6E" w:rsidRDefault="00C90CA1">
      <w:pPr>
        <w:numPr>
          <w:ilvl w:val="1"/>
          <w:numId w:val="1"/>
        </w:numPr>
        <w:ind w:hanging="425"/>
      </w:pPr>
      <w:r>
        <w:t>Cumulated chargeable transfers</w:t>
      </w:r>
      <w:r>
        <w:rPr>
          <w:b/>
        </w:rPr>
        <w:t xml:space="preserve"> </w:t>
      </w:r>
    </w:p>
    <w:p w14:paraId="2071B108" w14:textId="77777777" w:rsidR="00E94B6E" w:rsidRDefault="00C90CA1">
      <w:pPr>
        <w:numPr>
          <w:ilvl w:val="1"/>
          <w:numId w:val="1"/>
        </w:numPr>
        <w:ind w:hanging="425"/>
      </w:pPr>
      <w:r>
        <w:t>IHT scale rate to be applied</w:t>
      </w:r>
      <w:r>
        <w:rPr>
          <w:b/>
        </w:rPr>
        <w:t xml:space="preserve"> </w:t>
      </w:r>
    </w:p>
    <w:p w14:paraId="44A13CC0" w14:textId="77777777" w:rsidR="00E94B6E" w:rsidRDefault="00C90CA1">
      <w:pPr>
        <w:numPr>
          <w:ilvl w:val="1"/>
          <w:numId w:val="1"/>
        </w:numPr>
        <w:ind w:hanging="425"/>
      </w:pPr>
      <w:r>
        <w:t>Tax payable – by whom and when</w:t>
      </w:r>
      <w:r>
        <w:rPr>
          <w:b/>
        </w:rPr>
        <w:t xml:space="preserve"> </w:t>
      </w:r>
    </w:p>
    <w:p w14:paraId="78A4581B" w14:textId="77777777" w:rsidR="00E94B6E" w:rsidRDefault="00C90CA1">
      <w:pPr>
        <w:spacing w:after="29" w:line="259" w:lineRule="auto"/>
        <w:ind w:left="422"/>
      </w:pPr>
      <w:r>
        <w:rPr>
          <w:u w:val="single" w:color="000000"/>
        </w:rPr>
        <w:t>Factors to consider when an individual dies:</w:t>
      </w:r>
      <w:r>
        <w:t xml:space="preserve"> </w:t>
      </w:r>
    </w:p>
    <w:p w14:paraId="53D4F327" w14:textId="77777777" w:rsidR="00E94B6E" w:rsidRDefault="00C90CA1">
      <w:pPr>
        <w:numPr>
          <w:ilvl w:val="1"/>
          <w:numId w:val="1"/>
        </w:numPr>
        <w:ind w:hanging="425"/>
      </w:pPr>
      <w:r>
        <w:t>The entire estate</w:t>
      </w:r>
      <w:r>
        <w:rPr>
          <w:b/>
        </w:rPr>
        <w:t xml:space="preserve"> </w:t>
      </w:r>
    </w:p>
    <w:p w14:paraId="2B80F603" w14:textId="77777777" w:rsidR="00E94B6E" w:rsidRDefault="00C90CA1">
      <w:pPr>
        <w:numPr>
          <w:ilvl w:val="1"/>
          <w:numId w:val="1"/>
        </w:numPr>
        <w:ind w:hanging="425"/>
      </w:pPr>
      <w:r>
        <w:t>Agricultural or business reliefs to be deducted</w:t>
      </w:r>
      <w:r>
        <w:rPr>
          <w:b/>
        </w:rPr>
        <w:t xml:space="preserve"> </w:t>
      </w:r>
    </w:p>
    <w:p w14:paraId="0D6A9893" w14:textId="77777777" w:rsidR="00E94B6E" w:rsidRDefault="00C90CA1">
      <w:pPr>
        <w:numPr>
          <w:ilvl w:val="1"/>
          <w:numId w:val="1"/>
        </w:numPr>
        <w:ind w:hanging="425"/>
      </w:pPr>
      <w:r>
        <w:t>Any items that are exempt</w:t>
      </w:r>
      <w:r>
        <w:rPr>
          <w:b/>
        </w:rPr>
        <w:t xml:space="preserve"> </w:t>
      </w:r>
    </w:p>
    <w:p w14:paraId="4D6BFDD1" w14:textId="77777777" w:rsidR="00E94B6E" w:rsidRDefault="00C90CA1">
      <w:pPr>
        <w:numPr>
          <w:ilvl w:val="1"/>
          <w:numId w:val="1"/>
        </w:numPr>
        <w:ind w:hanging="425"/>
      </w:pPr>
      <w:r>
        <w:t>Non-exempt gifts and gifts in which interest has been retained</w:t>
      </w:r>
      <w:r>
        <w:rPr>
          <w:b/>
        </w:rPr>
        <w:t xml:space="preserve"> </w:t>
      </w:r>
    </w:p>
    <w:p w14:paraId="42F52087" w14:textId="77777777" w:rsidR="00E94B6E" w:rsidRDefault="00C90CA1">
      <w:pPr>
        <w:numPr>
          <w:ilvl w:val="1"/>
          <w:numId w:val="1"/>
        </w:numPr>
        <w:ind w:hanging="425"/>
      </w:pPr>
      <w:r>
        <w:t>Value of Taxable estate</w:t>
      </w:r>
      <w:r>
        <w:rPr>
          <w:b/>
        </w:rPr>
        <w:t xml:space="preserve"> </w:t>
      </w:r>
    </w:p>
    <w:p w14:paraId="50EDC092" w14:textId="77777777" w:rsidR="00E94B6E" w:rsidRDefault="00C90CA1">
      <w:pPr>
        <w:numPr>
          <w:ilvl w:val="1"/>
          <w:numId w:val="1"/>
        </w:numPr>
        <w:ind w:hanging="425"/>
      </w:pPr>
      <w:r>
        <w:t>Allowable deductions</w:t>
      </w:r>
      <w:r>
        <w:rPr>
          <w:b/>
        </w:rPr>
        <w:t xml:space="preserve"> </w:t>
      </w:r>
    </w:p>
    <w:p w14:paraId="4C017F99" w14:textId="77777777" w:rsidR="00E94B6E" w:rsidRDefault="00C90CA1">
      <w:pPr>
        <w:numPr>
          <w:ilvl w:val="1"/>
          <w:numId w:val="1"/>
        </w:numPr>
        <w:ind w:hanging="425"/>
      </w:pPr>
      <w:r>
        <w:t>% of net estate left to charity</w:t>
      </w:r>
      <w:r>
        <w:rPr>
          <w:b/>
        </w:rPr>
        <w:t xml:space="preserve"> </w:t>
      </w:r>
    </w:p>
    <w:p w14:paraId="7088F343" w14:textId="77777777" w:rsidR="00E94B6E" w:rsidRDefault="00C90CA1">
      <w:pPr>
        <w:numPr>
          <w:ilvl w:val="1"/>
          <w:numId w:val="1"/>
        </w:numPr>
        <w:ind w:hanging="425"/>
      </w:pPr>
      <w:r>
        <w:t>IHT threshold and tax rate to be applied on excess</w:t>
      </w:r>
      <w:r>
        <w:rPr>
          <w:b/>
        </w:rPr>
        <w:t xml:space="preserve"> </w:t>
      </w:r>
    </w:p>
    <w:p w14:paraId="50E933A5" w14:textId="77777777" w:rsidR="00E94B6E" w:rsidRDefault="00C90CA1">
      <w:pPr>
        <w:spacing w:after="19" w:line="259" w:lineRule="auto"/>
        <w:ind w:left="0" w:firstLine="0"/>
      </w:pPr>
      <w:r>
        <w:rPr>
          <w:b/>
          <w:sz w:val="20"/>
        </w:rPr>
        <w:t xml:space="preserve"> </w:t>
      </w:r>
    </w:p>
    <w:p w14:paraId="1D6F26C5" w14:textId="77777777" w:rsidR="00E94B6E" w:rsidRDefault="00C90CA1">
      <w:pPr>
        <w:spacing w:after="7" w:line="259" w:lineRule="auto"/>
        <w:ind w:left="0" w:firstLine="0"/>
      </w:pPr>
      <w:r>
        <w:rPr>
          <w:b/>
          <w:sz w:val="20"/>
        </w:rPr>
        <w:t xml:space="preserve"> </w:t>
      </w:r>
    </w:p>
    <w:p w14:paraId="4C2F27A3" w14:textId="77777777" w:rsidR="00E94B6E" w:rsidRDefault="00C90CA1">
      <w:pPr>
        <w:ind w:left="422"/>
      </w:pPr>
      <w:r>
        <w:t xml:space="preserve">Relevant section of the manual is Part 2 Chapter 4 </w:t>
      </w:r>
    </w:p>
    <w:p w14:paraId="48106A69" w14:textId="77777777" w:rsidR="00E94B6E" w:rsidRDefault="00C90CA1">
      <w:pPr>
        <w:spacing w:after="12"/>
        <w:ind w:left="10" w:right="38"/>
        <w:jc w:val="right"/>
      </w:pPr>
      <w:r>
        <w:rPr>
          <w:b/>
        </w:rPr>
        <w:t xml:space="preserve">20 marks </w:t>
      </w:r>
    </w:p>
    <w:p w14:paraId="38CF21F3" w14:textId="77777777" w:rsidR="00E94B6E" w:rsidRDefault="00C90CA1">
      <w:pPr>
        <w:spacing w:after="19" w:line="259" w:lineRule="auto"/>
        <w:ind w:left="0" w:firstLine="0"/>
      </w:pPr>
      <w:r>
        <w:rPr>
          <w:b/>
          <w:sz w:val="20"/>
        </w:rPr>
        <w:t xml:space="preserve"> </w:t>
      </w:r>
    </w:p>
    <w:p w14:paraId="7D563F04" w14:textId="28F1A6A1" w:rsidR="00E94B6E" w:rsidRDefault="00C90CA1">
      <w:pPr>
        <w:spacing w:after="7" w:line="259" w:lineRule="auto"/>
        <w:ind w:left="0" w:firstLine="0"/>
        <w:rPr>
          <w:b/>
          <w:sz w:val="20"/>
        </w:rPr>
      </w:pPr>
      <w:r>
        <w:rPr>
          <w:b/>
          <w:sz w:val="20"/>
        </w:rPr>
        <w:t xml:space="preserve"> </w:t>
      </w:r>
    </w:p>
    <w:p w14:paraId="59923FC9" w14:textId="5AA5DEEE" w:rsidR="005926DC" w:rsidRDefault="005926DC">
      <w:pPr>
        <w:spacing w:after="7" w:line="259" w:lineRule="auto"/>
        <w:ind w:left="0" w:firstLine="0"/>
        <w:rPr>
          <w:b/>
          <w:sz w:val="20"/>
        </w:rPr>
      </w:pPr>
    </w:p>
    <w:p w14:paraId="2866334B" w14:textId="73CA8E1F" w:rsidR="005926DC" w:rsidRDefault="005926DC">
      <w:pPr>
        <w:spacing w:after="7" w:line="259" w:lineRule="auto"/>
        <w:ind w:left="0" w:firstLine="0"/>
        <w:rPr>
          <w:b/>
          <w:sz w:val="20"/>
        </w:rPr>
      </w:pPr>
    </w:p>
    <w:p w14:paraId="3CBB3F36" w14:textId="7674CF82" w:rsidR="005926DC" w:rsidRDefault="005926DC">
      <w:pPr>
        <w:spacing w:after="7" w:line="259" w:lineRule="auto"/>
        <w:ind w:left="0" w:firstLine="0"/>
        <w:rPr>
          <w:b/>
          <w:sz w:val="20"/>
        </w:rPr>
      </w:pPr>
    </w:p>
    <w:p w14:paraId="7A49A6B5" w14:textId="768D70F3" w:rsidR="005926DC" w:rsidRDefault="005926DC">
      <w:pPr>
        <w:spacing w:after="7" w:line="259" w:lineRule="auto"/>
        <w:ind w:left="0" w:firstLine="0"/>
        <w:rPr>
          <w:b/>
          <w:sz w:val="20"/>
        </w:rPr>
      </w:pPr>
    </w:p>
    <w:p w14:paraId="2B331C94" w14:textId="77777777" w:rsidR="005926DC" w:rsidRDefault="005926DC">
      <w:pPr>
        <w:spacing w:after="7" w:line="259" w:lineRule="auto"/>
        <w:ind w:left="0" w:firstLine="0"/>
      </w:pPr>
    </w:p>
    <w:p w14:paraId="70BC7130" w14:textId="77777777" w:rsidR="00E94B6E" w:rsidRDefault="00C90CA1">
      <w:pPr>
        <w:numPr>
          <w:ilvl w:val="0"/>
          <w:numId w:val="1"/>
        </w:numPr>
        <w:spacing w:after="4" w:line="250" w:lineRule="auto"/>
        <w:ind w:hanging="427"/>
      </w:pPr>
      <w:r>
        <w:rPr>
          <w:b/>
        </w:rPr>
        <w:lastRenderedPageBreak/>
        <w:t xml:space="preserve">Describe Payment Protection Insurance (PPI) and the advice to be followed when selling these policies issued by the FCA. </w:t>
      </w:r>
    </w:p>
    <w:p w14:paraId="084F3EA5" w14:textId="77777777" w:rsidR="00E94B6E" w:rsidRDefault="00C90CA1">
      <w:pPr>
        <w:spacing w:after="0" w:line="259" w:lineRule="auto"/>
        <w:ind w:left="427" w:firstLine="0"/>
      </w:pPr>
      <w:r>
        <w:rPr>
          <w:b/>
        </w:rPr>
        <w:t xml:space="preserve"> </w:t>
      </w:r>
    </w:p>
    <w:p w14:paraId="6322EB53" w14:textId="77777777" w:rsidR="00E94B6E" w:rsidRDefault="00C90CA1">
      <w:pPr>
        <w:spacing w:after="12"/>
        <w:ind w:left="10" w:right="38"/>
        <w:jc w:val="right"/>
      </w:pPr>
      <w:r>
        <w:rPr>
          <w:b/>
        </w:rPr>
        <w:t xml:space="preserve">10 marks </w:t>
      </w:r>
    </w:p>
    <w:p w14:paraId="4DAAAF82" w14:textId="77777777" w:rsidR="00E94B6E" w:rsidRDefault="00C90CA1">
      <w:pPr>
        <w:spacing w:after="0" w:line="259" w:lineRule="auto"/>
        <w:ind w:left="1440" w:firstLine="0"/>
      </w:pPr>
      <w:r>
        <w:rPr>
          <w:b/>
        </w:rPr>
        <w:t xml:space="preserve"> </w:t>
      </w:r>
    </w:p>
    <w:p w14:paraId="281BFEB2" w14:textId="77777777" w:rsidR="00E94B6E" w:rsidRDefault="00C90CA1">
      <w:pPr>
        <w:ind w:left="422"/>
      </w:pPr>
      <w:r>
        <w:t xml:space="preserve">Answer should include: </w:t>
      </w:r>
    </w:p>
    <w:p w14:paraId="5506BECA" w14:textId="17D59AB6" w:rsidR="00E94B6E" w:rsidRDefault="00C90CA1">
      <w:pPr>
        <w:ind w:left="422"/>
      </w:pPr>
      <w:r>
        <w:t xml:space="preserve">A description of PPI </w:t>
      </w:r>
      <w:r w:rsidR="00A001E1">
        <w:t xml:space="preserve">- </w:t>
      </w:r>
      <w:r w:rsidR="00A001E1" w:rsidRPr="00A001E1">
        <w:t>Payment Protection Insurance (PPI) is a form of insurance that an individual might purchase to cover the cost of a loan (and debt from credit agreements) if they cannot meet the repayments for some reason, such as falling ill or being made redundant. One of the most common forms of PPI is mortgage payment protection insurance, which covers the cost of the policyholder’s mortgage repayments should they be unable to repay the loan.</w:t>
      </w:r>
    </w:p>
    <w:p w14:paraId="7ED23A33" w14:textId="77777777" w:rsidR="00E94B6E" w:rsidRDefault="00C90CA1">
      <w:pPr>
        <w:spacing w:after="27"/>
        <w:ind w:left="422"/>
      </w:pPr>
      <w:r>
        <w:t xml:space="preserve">FCA advice </w:t>
      </w:r>
    </w:p>
    <w:p w14:paraId="620FA92A" w14:textId="77777777" w:rsidR="00E94B6E" w:rsidRDefault="00C90CA1">
      <w:pPr>
        <w:numPr>
          <w:ilvl w:val="2"/>
          <w:numId w:val="1"/>
        </w:numPr>
        <w:ind w:hanging="360"/>
      </w:pPr>
      <w:r>
        <w:t xml:space="preserve">PPI optional </w:t>
      </w:r>
    </w:p>
    <w:p w14:paraId="0DD9AD2B" w14:textId="77777777" w:rsidR="00E94B6E" w:rsidRDefault="00C90CA1">
      <w:pPr>
        <w:numPr>
          <w:ilvl w:val="2"/>
          <w:numId w:val="1"/>
        </w:numPr>
        <w:ind w:hanging="360"/>
      </w:pPr>
      <w:r>
        <w:t xml:space="preserve">Clear information </w:t>
      </w:r>
    </w:p>
    <w:p w14:paraId="72D4F63A" w14:textId="77777777" w:rsidR="00E94B6E" w:rsidRDefault="00C90CA1">
      <w:pPr>
        <w:numPr>
          <w:ilvl w:val="2"/>
          <w:numId w:val="1"/>
        </w:numPr>
        <w:ind w:hanging="360"/>
      </w:pPr>
      <w:r>
        <w:t xml:space="preserve">Eligibility and exclusions </w:t>
      </w:r>
    </w:p>
    <w:p w14:paraId="6EF70455" w14:textId="77777777" w:rsidR="00E94B6E" w:rsidRDefault="00C90CA1">
      <w:pPr>
        <w:numPr>
          <w:ilvl w:val="2"/>
          <w:numId w:val="1"/>
        </w:numPr>
        <w:ind w:hanging="360"/>
      </w:pPr>
      <w:r>
        <w:t xml:space="preserve">Advice </w:t>
      </w:r>
    </w:p>
    <w:p w14:paraId="156E1510" w14:textId="77777777" w:rsidR="00E94B6E" w:rsidRDefault="00C90CA1">
      <w:pPr>
        <w:numPr>
          <w:ilvl w:val="2"/>
          <w:numId w:val="1"/>
        </w:numPr>
        <w:ind w:hanging="360"/>
      </w:pPr>
      <w:r>
        <w:t xml:space="preserve">Fair Refund </w:t>
      </w:r>
    </w:p>
    <w:p w14:paraId="3B2AB4BF" w14:textId="77777777" w:rsidR="00E94B6E" w:rsidRDefault="00C90CA1">
      <w:pPr>
        <w:spacing w:after="0" w:line="259" w:lineRule="auto"/>
        <w:ind w:left="1440" w:firstLine="0"/>
      </w:pPr>
      <w:r>
        <w:t xml:space="preserve"> </w:t>
      </w:r>
    </w:p>
    <w:p w14:paraId="7064C41F" w14:textId="77777777" w:rsidR="00E94B6E" w:rsidRDefault="00C90CA1">
      <w:pPr>
        <w:ind w:left="422"/>
      </w:pPr>
      <w:r>
        <w:t xml:space="preserve">Relevant section of the manual is Part 4 Chapter 2.7 </w:t>
      </w:r>
    </w:p>
    <w:p w14:paraId="64C4D710" w14:textId="77777777" w:rsidR="00E94B6E" w:rsidRDefault="00C90CA1">
      <w:pPr>
        <w:spacing w:after="12"/>
        <w:ind w:left="10" w:right="38"/>
        <w:jc w:val="right"/>
      </w:pPr>
      <w:r>
        <w:rPr>
          <w:b/>
        </w:rPr>
        <w:t xml:space="preserve">10 marks </w:t>
      </w:r>
    </w:p>
    <w:p w14:paraId="6E7B801D" w14:textId="77777777" w:rsidR="00E94B6E" w:rsidRDefault="00C90CA1">
      <w:pPr>
        <w:numPr>
          <w:ilvl w:val="0"/>
          <w:numId w:val="1"/>
        </w:numPr>
        <w:spacing w:after="4" w:line="250" w:lineRule="auto"/>
        <w:ind w:hanging="427"/>
      </w:pPr>
      <w:r>
        <w:rPr>
          <w:b/>
        </w:rPr>
        <w:t xml:space="preserve">Describe the various types of statutory benefits that might be provided to an employee by an employer. </w:t>
      </w:r>
    </w:p>
    <w:p w14:paraId="12EEC9AE" w14:textId="77777777" w:rsidR="00E94B6E" w:rsidRDefault="00C90CA1">
      <w:pPr>
        <w:spacing w:after="12"/>
        <w:ind w:left="10" w:right="38"/>
        <w:jc w:val="right"/>
      </w:pPr>
      <w:r>
        <w:rPr>
          <w:b/>
        </w:rPr>
        <w:t xml:space="preserve">20 marks </w:t>
      </w:r>
    </w:p>
    <w:p w14:paraId="6DBBD679" w14:textId="77777777" w:rsidR="00E94B6E" w:rsidRDefault="00C90CA1">
      <w:pPr>
        <w:spacing w:after="0" w:line="259" w:lineRule="auto"/>
        <w:ind w:left="1440" w:firstLine="0"/>
      </w:pPr>
      <w:r>
        <w:rPr>
          <w:b/>
        </w:rPr>
        <w:t xml:space="preserve"> </w:t>
      </w:r>
    </w:p>
    <w:p w14:paraId="5A1FDDFC" w14:textId="77777777" w:rsidR="00E94B6E" w:rsidRDefault="00C90CA1">
      <w:pPr>
        <w:spacing w:after="0" w:line="259" w:lineRule="auto"/>
        <w:ind w:left="1440" w:firstLine="0"/>
      </w:pPr>
      <w:r>
        <w:rPr>
          <w:b/>
        </w:rPr>
        <w:t xml:space="preserve"> </w:t>
      </w:r>
    </w:p>
    <w:p w14:paraId="1393FA78" w14:textId="77777777" w:rsidR="00E94B6E" w:rsidRDefault="00C90CA1">
      <w:pPr>
        <w:ind w:left="422"/>
      </w:pPr>
      <w:r>
        <w:t xml:space="preserve">Answer should cover: </w:t>
      </w:r>
    </w:p>
    <w:p w14:paraId="2EFC92FB" w14:textId="1F82CB98" w:rsidR="00E94B6E" w:rsidRDefault="00C90CA1">
      <w:pPr>
        <w:numPr>
          <w:ilvl w:val="1"/>
          <w:numId w:val="1"/>
        </w:numPr>
        <w:ind w:hanging="425"/>
      </w:pPr>
      <w:r>
        <w:t xml:space="preserve">Statutory Sick Pay </w:t>
      </w:r>
      <w:r w:rsidR="00A001E1">
        <w:t xml:space="preserve">- </w:t>
      </w:r>
      <w:r w:rsidR="00A001E1" w:rsidRPr="00A001E1">
        <w:t>When an employee is unable to work due to sickness or disability, employers must make payments for time off sick to at least a minimum level. Therefore, during the first 28 weeks of time off work employers must, as a minimum, make statutory payments</w:t>
      </w:r>
    </w:p>
    <w:p w14:paraId="2A9F624E" w14:textId="03B3131A" w:rsidR="00E94B6E" w:rsidRDefault="00C90CA1">
      <w:pPr>
        <w:numPr>
          <w:ilvl w:val="1"/>
          <w:numId w:val="1"/>
        </w:numPr>
        <w:ind w:hanging="425"/>
      </w:pPr>
      <w:r>
        <w:t xml:space="preserve">Statutory Maternity Leave and Statutory Maternity Pay </w:t>
      </w:r>
      <w:r w:rsidR="00A001E1">
        <w:t xml:space="preserve">- </w:t>
      </w:r>
      <w:r w:rsidR="00A001E1" w:rsidRPr="00A001E1">
        <w:t>Employees eligible for SML can take up to 52 weeks’ maternity leave. Employees must take at least two weeks after the birth (or four weeks if they are a factory worker). The earliest leave can be taken is 11 weeks before the expected week of childbirth.</w:t>
      </w:r>
    </w:p>
    <w:p w14:paraId="3F8B09E0" w14:textId="6478F8BE" w:rsidR="00E94B6E" w:rsidRDefault="00C90CA1">
      <w:pPr>
        <w:numPr>
          <w:ilvl w:val="1"/>
          <w:numId w:val="1"/>
        </w:numPr>
        <w:ind w:hanging="425"/>
      </w:pPr>
      <w:r>
        <w:t xml:space="preserve">Statutory Paternity Leave and Statutory Paternity Pay </w:t>
      </w:r>
      <w:r w:rsidR="00A001E1">
        <w:t xml:space="preserve">- </w:t>
      </w:r>
      <w:r w:rsidR="00A001E1" w:rsidRPr="00A001E1">
        <w:t>Employees eligible for Ordinary Statutory Paternity Leave can choose to take either one week or two consecutive weeks’ leave – even if they have more than one child (</w:t>
      </w:r>
      <w:proofErr w:type="gramStart"/>
      <w:r w:rsidR="00A001E1" w:rsidRPr="00A001E1">
        <w:t>e.g.</w:t>
      </w:r>
      <w:proofErr w:type="gramEnd"/>
      <w:r w:rsidR="00A001E1" w:rsidRPr="00A001E1">
        <w:t xml:space="preserve"> twins)</w:t>
      </w:r>
    </w:p>
    <w:p w14:paraId="5406B169" w14:textId="03748BDE" w:rsidR="00E94B6E" w:rsidRDefault="00C90CA1">
      <w:pPr>
        <w:numPr>
          <w:ilvl w:val="1"/>
          <w:numId w:val="1"/>
        </w:numPr>
        <w:ind w:hanging="425"/>
      </w:pPr>
      <w:r>
        <w:t xml:space="preserve">Statutory Adoption Leave and Statutory Adoption </w:t>
      </w:r>
      <w:r w:rsidR="00A001E1" w:rsidRPr="00A001E1">
        <w:t xml:space="preserve">Eligible employees can take up to 52 weeks </w:t>
      </w:r>
      <w:proofErr w:type="spellStart"/>
      <w:r w:rsidR="00A001E1" w:rsidRPr="00A001E1">
        <w:t>SAL.</w:t>
      </w:r>
      <w:r>
        <w:t>Pay</w:t>
      </w:r>
      <w:proofErr w:type="spellEnd"/>
      <w:r w:rsidR="00A001E1">
        <w:t xml:space="preserve">.  </w:t>
      </w:r>
    </w:p>
    <w:p w14:paraId="1FD0FD96" w14:textId="38C06808" w:rsidR="00E94B6E" w:rsidRDefault="00C90CA1">
      <w:pPr>
        <w:numPr>
          <w:ilvl w:val="1"/>
          <w:numId w:val="1"/>
        </w:numPr>
        <w:ind w:hanging="425"/>
      </w:pPr>
      <w:r>
        <w:t xml:space="preserve">Shared Parental Leave and Statutory Shared Parental Pay </w:t>
      </w:r>
      <w:r w:rsidR="00A001E1">
        <w:t xml:space="preserve">- </w:t>
      </w:r>
      <w:r w:rsidR="00A001E1" w:rsidRPr="00A001E1">
        <w:t xml:space="preserve">SPL and </w:t>
      </w:r>
      <w:proofErr w:type="spellStart"/>
      <w:r w:rsidR="00A001E1" w:rsidRPr="00A001E1">
        <w:t>ShPP</w:t>
      </w:r>
      <w:proofErr w:type="spellEnd"/>
      <w:r w:rsidR="00A001E1" w:rsidRPr="00A001E1">
        <w:t xml:space="preserve"> must be taken between the baby’s birth and first birthday (or within 1 year of adoption). Partners can share the leave if they are both eligible for SPL and choose how much of the leave each will take. The mother must take a minimum of 2 weeks’ maternity leave following the birth (4 if she works in a factory)</w:t>
      </w:r>
    </w:p>
    <w:p w14:paraId="2F9D214F" w14:textId="77777777" w:rsidR="00E94B6E" w:rsidRDefault="00C90CA1">
      <w:pPr>
        <w:spacing w:after="0" w:line="259" w:lineRule="auto"/>
        <w:ind w:left="1440" w:firstLine="0"/>
      </w:pPr>
      <w:r>
        <w:t xml:space="preserve"> </w:t>
      </w:r>
    </w:p>
    <w:p w14:paraId="3A13A7EB" w14:textId="77777777" w:rsidR="00E94B6E" w:rsidRDefault="00C90CA1">
      <w:pPr>
        <w:ind w:left="422"/>
      </w:pPr>
      <w:r>
        <w:t xml:space="preserve">Relevant section of the manual is Part 4 Chapter 1.1 </w:t>
      </w:r>
    </w:p>
    <w:p w14:paraId="1F1DC282" w14:textId="77777777" w:rsidR="00E94B6E" w:rsidRDefault="00C90CA1">
      <w:pPr>
        <w:spacing w:after="4" w:line="250" w:lineRule="auto"/>
        <w:ind w:left="8790" w:hanging="823"/>
      </w:pPr>
      <w:r>
        <w:rPr>
          <w:b/>
        </w:rPr>
        <w:t xml:space="preserve">20 marks  </w:t>
      </w:r>
    </w:p>
    <w:sectPr w:rsidR="00E94B6E">
      <w:footerReference w:type="even" r:id="rId8"/>
      <w:footerReference w:type="default" r:id="rId9"/>
      <w:footerReference w:type="first" r:id="rId10"/>
      <w:pgSz w:w="11906" w:h="16838"/>
      <w:pgMar w:top="611" w:right="1623" w:bottom="1518" w:left="1440" w:header="720" w:footer="2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D038E" w14:textId="77777777" w:rsidR="000A010C" w:rsidRDefault="000A010C">
      <w:pPr>
        <w:spacing w:after="0" w:line="240" w:lineRule="auto"/>
      </w:pPr>
      <w:r>
        <w:separator/>
      </w:r>
    </w:p>
  </w:endnote>
  <w:endnote w:type="continuationSeparator" w:id="0">
    <w:p w14:paraId="71024C75" w14:textId="77777777" w:rsidR="000A010C" w:rsidRDefault="000A0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FE694" w14:textId="77777777" w:rsidR="00E94B6E" w:rsidRDefault="00C90CA1">
    <w:pPr>
      <w:tabs>
        <w:tab w:val="center" w:pos="5041"/>
        <w:tab w:val="center" w:pos="5761"/>
        <w:tab w:val="center" w:pos="6481"/>
        <w:tab w:val="center" w:pos="7758"/>
      </w:tabs>
      <w:spacing w:after="17" w:line="259" w:lineRule="auto"/>
      <w:ind w:left="0" w:firstLine="0"/>
    </w:pPr>
    <w:r>
      <w:rPr>
        <w:sz w:val="16"/>
      </w:rPr>
      <w:t xml:space="preserve">Taxation, Retail Investment and Pensions Mock Examination Notes </w:t>
    </w:r>
    <w:r>
      <w:rPr>
        <w:sz w:val="16"/>
      </w:rPr>
      <w:tab/>
      <w:t xml:space="preserve"> </w:t>
    </w:r>
    <w:r>
      <w:rPr>
        <w:sz w:val="16"/>
      </w:rPr>
      <w:tab/>
      <w:t xml:space="preserve"> </w:t>
    </w:r>
    <w:r>
      <w:rPr>
        <w:sz w:val="16"/>
      </w:rPr>
      <w:tab/>
      <w:t xml:space="preserve"> </w:t>
    </w:r>
    <w:r>
      <w:rPr>
        <w:sz w:val="16"/>
      </w:rPr>
      <w:tab/>
      <w:t xml:space="preserve">2018/19 Edition </w:t>
    </w:r>
  </w:p>
  <w:p w14:paraId="30DD81E6" w14:textId="77777777" w:rsidR="00E94B6E" w:rsidRDefault="00C90CA1">
    <w:pPr>
      <w:spacing w:after="0" w:line="259" w:lineRule="auto"/>
      <w:ind w:left="0" w:firstLine="0"/>
    </w:pPr>
    <w:r>
      <w:rPr>
        <w:sz w:val="16"/>
      </w:rPr>
      <w:t xml:space="preserve">© The Pensions Management Institute 2019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A955" w14:textId="1E1D0E25" w:rsidR="00E94B6E" w:rsidRDefault="00C90CA1">
    <w:pPr>
      <w:tabs>
        <w:tab w:val="center" w:pos="5041"/>
        <w:tab w:val="center" w:pos="5761"/>
        <w:tab w:val="center" w:pos="6481"/>
        <w:tab w:val="center" w:pos="7758"/>
      </w:tabs>
      <w:spacing w:after="17" w:line="259" w:lineRule="auto"/>
      <w:ind w:left="0" w:firstLine="0"/>
    </w:pPr>
    <w:r>
      <w:rPr>
        <w:sz w:val="16"/>
      </w:rPr>
      <w:t xml:space="preserve">Taxation, Retail Investment and Pensions Mock Examination Notes </w:t>
    </w:r>
    <w:r>
      <w:rPr>
        <w:sz w:val="16"/>
      </w:rPr>
      <w:tab/>
      <w:t xml:space="preserve"> </w:t>
    </w:r>
    <w:r>
      <w:rPr>
        <w:sz w:val="16"/>
      </w:rPr>
      <w:tab/>
      <w:t xml:space="preserve"> </w:t>
    </w:r>
    <w:r>
      <w:rPr>
        <w:sz w:val="16"/>
      </w:rPr>
      <w:tab/>
      <w:t xml:space="preserve"> </w:t>
    </w:r>
    <w:r>
      <w:rPr>
        <w:sz w:val="16"/>
      </w:rPr>
      <w:tab/>
      <w:t>20</w:t>
    </w:r>
    <w:r w:rsidR="00DB5DF8">
      <w:rPr>
        <w:sz w:val="16"/>
      </w:rPr>
      <w:t>22</w:t>
    </w:r>
    <w:r>
      <w:rPr>
        <w:sz w:val="16"/>
      </w:rPr>
      <w:t xml:space="preserve"> Edition </w:t>
    </w:r>
  </w:p>
  <w:p w14:paraId="16BCDA4E" w14:textId="1F0B4938" w:rsidR="00E94B6E" w:rsidRDefault="00C90CA1">
    <w:pPr>
      <w:spacing w:after="0" w:line="259" w:lineRule="auto"/>
      <w:ind w:left="0" w:firstLine="0"/>
    </w:pPr>
    <w:r>
      <w:rPr>
        <w:sz w:val="16"/>
      </w:rPr>
      <w:t>© The Pensions Management Institute 20</w:t>
    </w:r>
    <w:r w:rsidR="00DB5DF8">
      <w:rPr>
        <w:sz w:val="16"/>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88D1A" w14:textId="77777777" w:rsidR="00E94B6E" w:rsidRDefault="00C90CA1">
    <w:pPr>
      <w:tabs>
        <w:tab w:val="center" w:pos="5041"/>
        <w:tab w:val="center" w:pos="5761"/>
        <w:tab w:val="center" w:pos="6481"/>
        <w:tab w:val="center" w:pos="7758"/>
      </w:tabs>
      <w:spacing w:after="17" w:line="259" w:lineRule="auto"/>
      <w:ind w:left="0" w:firstLine="0"/>
    </w:pPr>
    <w:r>
      <w:rPr>
        <w:sz w:val="16"/>
      </w:rPr>
      <w:t xml:space="preserve">Taxation, Retail Investment and Pensions Mock Examination Notes </w:t>
    </w:r>
    <w:r>
      <w:rPr>
        <w:sz w:val="16"/>
      </w:rPr>
      <w:tab/>
      <w:t xml:space="preserve"> </w:t>
    </w:r>
    <w:r>
      <w:rPr>
        <w:sz w:val="16"/>
      </w:rPr>
      <w:tab/>
      <w:t xml:space="preserve"> </w:t>
    </w:r>
    <w:r>
      <w:rPr>
        <w:sz w:val="16"/>
      </w:rPr>
      <w:tab/>
      <w:t xml:space="preserve"> </w:t>
    </w:r>
    <w:r>
      <w:rPr>
        <w:sz w:val="16"/>
      </w:rPr>
      <w:tab/>
      <w:t xml:space="preserve">2018/19 Edition </w:t>
    </w:r>
  </w:p>
  <w:p w14:paraId="463A2BC3" w14:textId="77777777" w:rsidR="00E94B6E" w:rsidRDefault="00C90CA1">
    <w:pPr>
      <w:spacing w:after="0" w:line="259" w:lineRule="auto"/>
      <w:ind w:left="0" w:firstLine="0"/>
    </w:pPr>
    <w:r>
      <w:rPr>
        <w:sz w:val="16"/>
      </w:rPr>
      <w:t xml:space="preserve">© The Pensions Management Institute 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A664A" w14:textId="77777777" w:rsidR="000A010C" w:rsidRDefault="000A010C">
      <w:pPr>
        <w:spacing w:after="0" w:line="240" w:lineRule="auto"/>
      </w:pPr>
      <w:r>
        <w:separator/>
      </w:r>
    </w:p>
  </w:footnote>
  <w:footnote w:type="continuationSeparator" w:id="0">
    <w:p w14:paraId="45B0C9B8" w14:textId="77777777" w:rsidR="000A010C" w:rsidRDefault="000A01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83A71"/>
    <w:multiLevelType w:val="hybridMultilevel"/>
    <w:tmpl w:val="68FC16D8"/>
    <w:lvl w:ilvl="0" w:tplc="E58859B2">
      <w:start w:val="3"/>
      <w:numFmt w:val="decimal"/>
      <w:lvlText w:val="%1."/>
      <w:lvlJc w:val="left"/>
      <w:pPr>
        <w:ind w:left="42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97D8DD3A">
      <w:start w:val="1"/>
      <w:numFmt w:val="bullet"/>
      <w:lvlText w:val="•"/>
      <w:lvlJc w:val="left"/>
      <w:pPr>
        <w:ind w:left="8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BE869AD4">
      <w:start w:val="1"/>
      <w:numFmt w:val="bullet"/>
      <w:lvlText w:val="•"/>
      <w:lvlJc w:val="left"/>
      <w:pPr>
        <w:ind w:left="114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53AA02C6">
      <w:start w:val="1"/>
      <w:numFmt w:val="bullet"/>
      <w:lvlText w:val="•"/>
      <w:lvlJc w:val="left"/>
      <w:pPr>
        <w:ind w:left="186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296BC20">
      <w:start w:val="1"/>
      <w:numFmt w:val="bullet"/>
      <w:lvlText w:val="o"/>
      <w:lvlJc w:val="left"/>
      <w:pPr>
        <w:ind w:left="258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9B7A0E80">
      <w:start w:val="1"/>
      <w:numFmt w:val="bullet"/>
      <w:lvlText w:val="▪"/>
      <w:lvlJc w:val="left"/>
      <w:pPr>
        <w:ind w:left="330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911C83C8">
      <w:start w:val="1"/>
      <w:numFmt w:val="bullet"/>
      <w:lvlText w:val="•"/>
      <w:lvlJc w:val="left"/>
      <w:pPr>
        <w:ind w:left="402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EC0C726">
      <w:start w:val="1"/>
      <w:numFmt w:val="bullet"/>
      <w:lvlText w:val="o"/>
      <w:lvlJc w:val="left"/>
      <w:pPr>
        <w:ind w:left="474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8ADECA2E">
      <w:start w:val="1"/>
      <w:numFmt w:val="bullet"/>
      <w:lvlText w:val="▪"/>
      <w:lvlJc w:val="left"/>
      <w:pPr>
        <w:ind w:left="546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3C287F04"/>
    <w:multiLevelType w:val="hybridMultilevel"/>
    <w:tmpl w:val="42A66D50"/>
    <w:lvl w:ilvl="0" w:tplc="FF12F970">
      <w:start w:val="1"/>
      <w:numFmt w:val="bullet"/>
      <w:lvlText w:val="•"/>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F4D8C452">
      <w:start w:val="1"/>
      <w:numFmt w:val="bullet"/>
      <w:lvlText w:val="o"/>
      <w:lvlJc w:val="left"/>
      <w:pPr>
        <w:ind w:left="114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272C2C26">
      <w:start w:val="1"/>
      <w:numFmt w:val="bullet"/>
      <w:lvlText w:val="▪"/>
      <w:lvlJc w:val="left"/>
      <w:pPr>
        <w:ind w:left="186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04B0152A">
      <w:start w:val="1"/>
      <w:numFmt w:val="bullet"/>
      <w:lvlText w:val="•"/>
      <w:lvlJc w:val="left"/>
      <w:pPr>
        <w:ind w:left="258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F54C556">
      <w:start w:val="1"/>
      <w:numFmt w:val="bullet"/>
      <w:lvlText w:val="o"/>
      <w:lvlJc w:val="left"/>
      <w:pPr>
        <w:ind w:left="330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21A8762C">
      <w:start w:val="1"/>
      <w:numFmt w:val="bullet"/>
      <w:lvlText w:val="▪"/>
      <w:lvlJc w:val="left"/>
      <w:pPr>
        <w:ind w:left="402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E7DC6E34">
      <w:start w:val="1"/>
      <w:numFmt w:val="bullet"/>
      <w:lvlText w:val="•"/>
      <w:lvlJc w:val="left"/>
      <w:pPr>
        <w:ind w:left="474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4BE04400">
      <w:start w:val="1"/>
      <w:numFmt w:val="bullet"/>
      <w:lvlText w:val="o"/>
      <w:lvlJc w:val="left"/>
      <w:pPr>
        <w:ind w:left="546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26B07074">
      <w:start w:val="1"/>
      <w:numFmt w:val="bullet"/>
      <w:lvlText w:val="▪"/>
      <w:lvlJc w:val="left"/>
      <w:pPr>
        <w:ind w:left="618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68F71349"/>
    <w:multiLevelType w:val="hybridMultilevel"/>
    <w:tmpl w:val="3CB8A85C"/>
    <w:lvl w:ilvl="0" w:tplc="427C0386">
      <w:start w:val="1"/>
      <w:numFmt w:val="decimal"/>
      <w:lvlText w:val="%1"/>
      <w:lvlJc w:val="left"/>
      <w:pPr>
        <w:ind w:left="3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A4C0E6E6">
      <w:start w:val="1"/>
      <w:numFmt w:val="lowerLetter"/>
      <w:lvlText w:val="(%2)"/>
      <w:lvlJc w:val="left"/>
      <w:pPr>
        <w:ind w:left="852"/>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8272E138">
      <w:start w:val="1"/>
      <w:numFmt w:val="lowerRoman"/>
      <w:lvlText w:val="%3"/>
      <w:lvlJc w:val="left"/>
      <w:pPr>
        <w:ind w:left="150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B212D32A">
      <w:start w:val="1"/>
      <w:numFmt w:val="decimal"/>
      <w:lvlText w:val="%4"/>
      <w:lvlJc w:val="left"/>
      <w:pPr>
        <w:ind w:left="222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8794B9B2">
      <w:start w:val="1"/>
      <w:numFmt w:val="lowerLetter"/>
      <w:lvlText w:val="%5"/>
      <w:lvlJc w:val="left"/>
      <w:pPr>
        <w:ind w:left="294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9450688A">
      <w:start w:val="1"/>
      <w:numFmt w:val="lowerRoman"/>
      <w:lvlText w:val="%6"/>
      <w:lvlJc w:val="left"/>
      <w:pPr>
        <w:ind w:left="366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022A3E1A">
      <w:start w:val="1"/>
      <w:numFmt w:val="decimal"/>
      <w:lvlText w:val="%7"/>
      <w:lvlJc w:val="left"/>
      <w:pPr>
        <w:ind w:left="438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EAB275FA">
      <w:start w:val="1"/>
      <w:numFmt w:val="lowerLetter"/>
      <w:lvlText w:val="%8"/>
      <w:lvlJc w:val="left"/>
      <w:pPr>
        <w:ind w:left="510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8F80B042">
      <w:start w:val="1"/>
      <w:numFmt w:val="lowerRoman"/>
      <w:lvlText w:val="%9"/>
      <w:lvlJc w:val="left"/>
      <w:pPr>
        <w:ind w:left="582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B6E"/>
    <w:rsid w:val="000A010C"/>
    <w:rsid w:val="000E72AC"/>
    <w:rsid w:val="00157849"/>
    <w:rsid w:val="003F349C"/>
    <w:rsid w:val="00480ACC"/>
    <w:rsid w:val="00590F1F"/>
    <w:rsid w:val="005926DC"/>
    <w:rsid w:val="006515AC"/>
    <w:rsid w:val="00697FF6"/>
    <w:rsid w:val="006B7038"/>
    <w:rsid w:val="006C495E"/>
    <w:rsid w:val="00744303"/>
    <w:rsid w:val="008E3534"/>
    <w:rsid w:val="009B6DB8"/>
    <w:rsid w:val="00A001E1"/>
    <w:rsid w:val="00AD61DE"/>
    <w:rsid w:val="00C761A3"/>
    <w:rsid w:val="00C90CA1"/>
    <w:rsid w:val="00CD396B"/>
    <w:rsid w:val="00DB5DF8"/>
    <w:rsid w:val="00E10AA8"/>
    <w:rsid w:val="00E37F8B"/>
    <w:rsid w:val="00E94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A48E9"/>
  <w15:docId w15:val="{74DB55BF-C7CF-4C31-B090-0BFE931F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8" w:lineRule="auto"/>
      <w:ind w:left="437" w:hanging="10"/>
    </w:pPr>
    <w:rPr>
      <w:rFonts w:ascii="Arial" w:eastAsia="Arial" w:hAnsi="Arial" w:cs="Arial"/>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B5D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DF8"/>
    <w:rPr>
      <w:rFonts w:ascii="Arial" w:eastAsia="Arial" w:hAnsi="Arial" w:cs="Arial"/>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1195</Words>
  <Characters>6817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Sanchez</dc:creator>
  <cp:keywords/>
  <cp:lastModifiedBy>Dr. Keith Hoodless</cp:lastModifiedBy>
  <cp:revision>2</cp:revision>
  <dcterms:created xsi:type="dcterms:W3CDTF">2022-03-18T15:37:00Z</dcterms:created>
  <dcterms:modified xsi:type="dcterms:W3CDTF">2022-03-18T15:37:00Z</dcterms:modified>
</cp:coreProperties>
</file>