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89BFB" w14:textId="74D4164D" w:rsidR="006032D9" w:rsidRDefault="006032D9" w:rsidP="006032D9">
      <w:pPr>
        <w:spacing w:after="0"/>
        <w:jc w:val="right"/>
        <w:rPr>
          <w:rFonts w:asciiTheme="minorHAnsi" w:eastAsiaTheme="minorHAnsi" w:hAnsiTheme="minorHAnsi" w:cstheme="minorBidi"/>
          <w:b/>
          <w:bCs/>
          <w:color w:val="auto"/>
          <w:lang w:val="en-US"/>
        </w:rPr>
      </w:pPr>
      <w:r>
        <w:rPr>
          <w:rFonts w:asciiTheme="minorHAnsi" w:eastAsiaTheme="minorHAnsi" w:hAnsiTheme="minorHAnsi" w:cstheme="minorBidi"/>
          <w:noProof/>
        </w:rPr>
        <w:drawing>
          <wp:anchor distT="0" distB="0" distL="114300" distR="114300" simplePos="0" relativeHeight="251659264" behindDoc="0" locked="0" layoutInCell="1" allowOverlap="1" wp14:anchorId="678376FC" wp14:editId="40AAD5AD">
            <wp:simplePos x="0" y="0"/>
            <wp:positionH relativeFrom="margin">
              <wp:align>left</wp:align>
            </wp:positionH>
            <wp:positionV relativeFrom="paragraph">
              <wp:posOffset>0</wp:posOffset>
            </wp:positionV>
            <wp:extent cx="1644650" cy="1040130"/>
            <wp:effectExtent l="0" t="0" r="0" b="7620"/>
            <wp:wrapSquare wrapText="bothSides"/>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Devonshire House</w:t>
      </w:r>
    </w:p>
    <w:p w14:paraId="6304BE61" w14:textId="77777777" w:rsidR="006032D9" w:rsidRDefault="006032D9" w:rsidP="006032D9">
      <w:pPr>
        <w:spacing w:after="0"/>
        <w:jc w:val="right"/>
        <w:rPr>
          <w:b/>
          <w:bCs/>
          <w:lang w:val="en-US"/>
        </w:rPr>
      </w:pPr>
      <w:r>
        <w:rPr>
          <w:lang w:val="en-US"/>
        </w:rPr>
        <w:t xml:space="preserve">60 Goswell Road </w:t>
      </w:r>
    </w:p>
    <w:p w14:paraId="4808730B" w14:textId="77777777" w:rsidR="006032D9" w:rsidRDefault="006032D9" w:rsidP="006032D9">
      <w:pPr>
        <w:spacing w:after="0"/>
        <w:jc w:val="right"/>
        <w:rPr>
          <w:b/>
          <w:bCs/>
          <w:lang w:val="en-US"/>
        </w:rPr>
      </w:pPr>
      <w:r>
        <w:rPr>
          <w:lang w:val="en-US"/>
        </w:rPr>
        <w:t xml:space="preserve">London </w:t>
      </w:r>
    </w:p>
    <w:p w14:paraId="073244BE" w14:textId="77777777" w:rsidR="006032D9" w:rsidRDefault="006032D9" w:rsidP="006032D9">
      <w:pPr>
        <w:spacing w:after="0"/>
        <w:jc w:val="right"/>
        <w:rPr>
          <w:b/>
          <w:bCs/>
          <w:lang w:val="en-US"/>
        </w:rPr>
      </w:pPr>
      <w:r>
        <w:rPr>
          <w:lang w:val="en-US"/>
        </w:rPr>
        <w:t xml:space="preserve">EC1M 7AD </w:t>
      </w:r>
    </w:p>
    <w:p w14:paraId="2E83D509" w14:textId="77777777" w:rsidR="006032D9" w:rsidRDefault="006032D9" w:rsidP="006032D9">
      <w:pPr>
        <w:spacing w:after="0"/>
        <w:jc w:val="right"/>
        <w:rPr>
          <w:b/>
          <w:bCs/>
          <w:lang w:val="en-US"/>
        </w:rPr>
      </w:pPr>
      <w:r>
        <w:rPr>
          <w:lang w:val="en-US"/>
        </w:rPr>
        <w:t xml:space="preserve">T: +44 (0) 20 7247 1452 </w:t>
      </w:r>
    </w:p>
    <w:p w14:paraId="129093F6" w14:textId="77777777" w:rsidR="006032D9" w:rsidRDefault="006032D9" w:rsidP="006032D9">
      <w:pPr>
        <w:spacing w:after="0"/>
        <w:jc w:val="right"/>
        <w:rPr>
          <w:b/>
          <w:bCs/>
          <w:lang w:val="en-US"/>
        </w:rPr>
      </w:pPr>
      <w:r>
        <w:rPr>
          <w:lang w:val="en-US"/>
        </w:rPr>
        <w:t>W: www.pensions-pmi.org.uk</w:t>
      </w:r>
    </w:p>
    <w:p w14:paraId="29B9E6E3" w14:textId="064A2B90" w:rsidR="00236A91" w:rsidRDefault="00236A91">
      <w:pPr>
        <w:spacing w:after="17"/>
        <w:jc w:val="right"/>
      </w:pPr>
    </w:p>
    <w:p w14:paraId="5BDB4FFB" w14:textId="77777777" w:rsidR="00236A91" w:rsidRDefault="00153021">
      <w:pPr>
        <w:spacing w:after="213"/>
        <w:jc w:val="right"/>
      </w:pPr>
      <w:r>
        <w:rPr>
          <w:rFonts w:ascii="Arial" w:eastAsia="Arial" w:hAnsi="Arial" w:cs="Arial"/>
          <w:sz w:val="19"/>
        </w:rPr>
        <w:t xml:space="preserve"> </w:t>
      </w:r>
    </w:p>
    <w:p w14:paraId="07982EE6" w14:textId="77777777" w:rsidR="00236A91" w:rsidRDefault="00153021">
      <w:pPr>
        <w:spacing w:after="0"/>
        <w:ind w:right="56"/>
        <w:jc w:val="center"/>
      </w:pPr>
      <w:r>
        <w:rPr>
          <w:rFonts w:ascii="Arial" w:eastAsia="Arial" w:hAnsi="Arial" w:cs="Arial"/>
          <w:sz w:val="40"/>
        </w:rPr>
        <w:t xml:space="preserve">Retail Advice and Regulation </w:t>
      </w:r>
    </w:p>
    <w:p w14:paraId="744BD171" w14:textId="77777777" w:rsidR="00236A91" w:rsidRDefault="00153021">
      <w:pPr>
        <w:spacing w:after="108"/>
        <w:ind w:right="118"/>
        <w:jc w:val="center"/>
      </w:pPr>
      <w:r>
        <w:rPr>
          <w:rFonts w:ascii="Arial" w:eastAsia="Arial" w:hAnsi="Arial" w:cs="Arial"/>
          <w:sz w:val="19"/>
        </w:rPr>
        <w:t xml:space="preserve"> </w:t>
      </w:r>
    </w:p>
    <w:p w14:paraId="1BAEDC7B" w14:textId="77777777" w:rsidR="00236A91" w:rsidRDefault="00153021">
      <w:pPr>
        <w:spacing w:after="0"/>
        <w:ind w:right="83"/>
        <w:jc w:val="center"/>
      </w:pPr>
      <w:r>
        <w:rPr>
          <w:rFonts w:ascii="Arial" w:eastAsia="Arial" w:hAnsi="Arial" w:cs="Arial"/>
          <w:b/>
          <w:color w:val="0000FF"/>
          <w:sz w:val="32"/>
        </w:rPr>
        <w:t xml:space="preserve">Assignment 3 Notes </w:t>
      </w:r>
    </w:p>
    <w:p w14:paraId="1E4D1B0D" w14:textId="77777777" w:rsidR="00236A91" w:rsidRDefault="00153021">
      <w:pPr>
        <w:spacing w:after="0"/>
        <w:ind w:right="24"/>
        <w:jc w:val="center"/>
      </w:pPr>
      <w:r>
        <w:rPr>
          <w:rFonts w:ascii="Arial" w:eastAsia="Arial" w:hAnsi="Arial" w:cs="Arial"/>
          <w:b/>
          <w:color w:val="0000FF"/>
          <w:sz w:val="20"/>
        </w:rPr>
        <w:t xml:space="preserve"> </w:t>
      </w:r>
    </w:p>
    <w:p w14:paraId="0F137653" w14:textId="77777777" w:rsidR="00236A91" w:rsidRDefault="00153021">
      <w:pPr>
        <w:spacing w:after="17"/>
        <w:ind w:left="84"/>
      </w:pPr>
      <w:r>
        <w:rPr>
          <w:rFonts w:ascii="Arial" w:eastAsia="Arial" w:hAnsi="Arial" w:cs="Arial"/>
          <w:i/>
          <w:sz w:val="20"/>
        </w:rPr>
        <w:t xml:space="preserve">(Part 3 – Investment Advice and Planning and Part 4 - Legal Concepts Relevant to Financial Advice) </w:t>
      </w:r>
    </w:p>
    <w:p w14:paraId="78AF1542" w14:textId="77777777" w:rsidR="00236A91" w:rsidRDefault="00153021">
      <w:pPr>
        <w:spacing w:after="17"/>
        <w:ind w:right="83"/>
        <w:jc w:val="center"/>
      </w:pPr>
      <w:r>
        <w:rPr>
          <w:rFonts w:ascii="Arial" w:eastAsia="Arial" w:hAnsi="Arial" w:cs="Arial"/>
          <w:i/>
          <w:sz w:val="20"/>
        </w:rPr>
        <w:t xml:space="preserve">Recommended Time: 3 hours </w:t>
      </w:r>
    </w:p>
    <w:p w14:paraId="6FCF6D46" w14:textId="77777777" w:rsidR="00236A91" w:rsidRDefault="00153021">
      <w:pPr>
        <w:spacing w:after="0"/>
        <w:ind w:right="24"/>
        <w:jc w:val="center"/>
      </w:pPr>
      <w:r>
        <w:rPr>
          <w:rFonts w:ascii="Arial" w:eastAsia="Arial" w:hAnsi="Arial" w:cs="Arial"/>
          <w:i/>
          <w:sz w:val="20"/>
        </w:rPr>
        <w:t xml:space="preserve"> </w:t>
      </w:r>
    </w:p>
    <w:p w14:paraId="03A010A4" w14:textId="77777777" w:rsidR="00236A91" w:rsidRDefault="00153021">
      <w:pPr>
        <w:spacing w:after="0"/>
        <w:ind w:right="24"/>
        <w:jc w:val="center"/>
      </w:pPr>
      <w:r>
        <w:rPr>
          <w:rFonts w:ascii="Arial" w:eastAsia="Arial" w:hAnsi="Arial" w:cs="Arial"/>
          <w:i/>
          <w:sz w:val="20"/>
        </w:rPr>
        <w:t xml:space="preserve"> </w:t>
      </w:r>
    </w:p>
    <w:p w14:paraId="2EAB20F2" w14:textId="77777777" w:rsidR="00236A91" w:rsidRDefault="00153021">
      <w:pPr>
        <w:numPr>
          <w:ilvl w:val="0"/>
          <w:numId w:val="1"/>
        </w:numPr>
        <w:spacing w:after="0" w:line="246" w:lineRule="auto"/>
        <w:ind w:hanging="434"/>
        <w:jc w:val="both"/>
      </w:pPr>
      <w:r>
        <w:rPr>
          <w:rFonts w:ascii="Arial" w:eastAsia="Arial" w:hAnsi="Arial" w:cs="Arial"/>
          <w:b/>
          <w:sz w:val="20"/>
        </w:rPr>
        <w:t xml:space="preserve">Explain, using an example, the difference between a partnership and a limited liability partnership. </w:t>
      </w:r>
    </w:p>
    <w:p w14:paraId="761BB4AF" w14:textId="77777777" w:rsidR="00236A91" w:rsidRDefault="00153021">
      <w:pPr>
        <w:spacing w:after="0"/>
        <w:ind w:left="360"/>
      </w:pPr>
      <w:r>
        <w:rPr>
          <w:rFonts w:ascii="Arial" w:eastAsia="Arial" w:hAnsi="Arial" w:cs="Arial"/>
          <w:b/>
          <w:sz w:val="20"/>
        </w:rPr>
        <w:t xml:space="preserve"> </w:t>
      </w:r>
    </w:p>
    <w:p w14:paraId="1FEF9670" w14:textId="77777777" w:rsidR="00236A91" w:rsidRDefault="00153021">
      <w:pPr>
        <w:spacing w:after="96"/>
        <w:ind w:left="10" w:right="66" w:hanging="10"/>
        <w:jc w:val="right"/>
      </w:pPr>
      <w:r>
        <w:rPr>
          <w:rFonts w:ascii="Arial" w:eastAsia="Arial" w:hAnsi="Arial" w:cs="Arial"/>
          <w:b/>
          <w:sz w:val="20"/>
        </w:rPr>
        <w:t xml:space="preserve">5 marks </w:t>
      </w:r>
    </w:p>
    <w:p w14:paraId="456AF9B7" w14:textId="77777777" w:rsidR="00236A91" w:rsidRDefault="00153021">
      <w:pPr>
        <w:spacing w:after="0"/>
        <w:ind w:left="33"/>
        <w:jc w:val="center"/>
      </w:pPr>
      <w:r>
        <w:rPr>
          <w:rFonts w:ascii="Arial" w:eastAsia="Arial" w:hAnsi="Arial" w:cs="Arial"/>
          <w:sz w:val="32"/>
        </w:rPr>
        <w:t xml:space="preserve"> </w:t>
      </w:r>
    </w:p>
    <w:p w14:paraId="33FAAFB5" w14:textId="77777777" w:rsidR="00236A91" w:rsidRDefault="00153021">
      <w:pPr>
        <w:spacing w:after="17"/>
        <w:ind w:right="3"/>
        <w:jc w:val="center"/>
      </w:pPr>
      <w:r>
        <w:rPr>
          <w:rFonts w:ascii="Arial" w:eastAsia="Arial" w:hAnsi="Arial" w:cs="Arial"/>
          <w:sz w:val="19"/>
        </w:rPr>
        <w:t xml:space="preserve"> </w:t>
      </w:r>
    </w:p>
    <w:p w14:paraId="33337E82" w14:textId="79DAD319" w:rsidR="00236A91" w:rsidRDefault="00153021">
      <w:pPr>
        <w:spacing w:after="5" w:line="268" w:lineRule="auto"/>
        <w:ind w:left="422" w:hanging="10"/>
      </w:pPr>
      <w:r>
        <w:rPr>
          <w:rFonts w:ascii="Arial" w:eastAsia="Arial" w:hAnsi="Arial" w:cs="Arial"/>
          <w:sz w:val="19"/>
        </w:rPr>
        <w:t xml:space="preserve">The crucial difference is the restriction of exposure to debts. </w:t>
      </w:r>
      <w:r w:rsidR="003B2E5C" w:rsidRPr="003B2E5C">
        <w:rPr>
          <w:rFonts w:ascii="Arial" w:eastAsia="Arial" w:hAnsi="Arial" w:cs="Arial"/>
          <w:sz w:val="19"/>
        </w:rPr>
        <w:t>As with a sole trader, each partner has unlimited liability for the debts of the partnership. HMRC treats them as self-employed for tax and National Insurance purposes and requires them to pay Income Tax and NICs on their share of the partnership’s profits.</w:t>
      </w:r>
    </w:p>
    <w:p w14:paraId="59890D34" w14:textId="61F44F44" w:rsidR="00236A91" w:rsidRDefault="00153021">
      <w:pPr>
        <w:spacing w:after="14"/>
        <w:ind w:left="427"/>
      </w:pPr>
      <w:r>
        <w:rPr>
          <w:rFonts w:ascii="Arial" w:eastAsia="Arial" w:hAnsi="Arial" w:cs="Arial"/>
          <w:sz w:val="19"/>
        </w:rPr>
        <w:t xml:space="preserve"> </w:t>
      </w:r>
      <w:r w:rsidR="003B2E5C" w:rsidRPr="003B2E5C">
        <w:rPr>
          <w:rFonts w:ascii="Arial" w:eastAsia="Arial" w:hAnsi="Arial" w:cs="Arial"/>
          <w:sz w:val="19"/>
        </w:rPr>
        <w:t xml:space="preserve">LLPs provide owners with restricted exposure to the business debts. Their personal assets are ring-fenced away from the liabilities of the venture. LLPs, therefore, have proved attractive to professional firms that might face the risk of large liability claims, </w:t>
      </w:r>
      <w:r w:rsidR="00FD3E63" w:rsidRPr="003B2E5C">
        <w:rPr>
          <w:rFonts w:ascii="Arial" w:eastAsia="Arial" w:hAnsi="Arial" w:cs="Arial"/>
          <w:sz w:val="19"/>
        </w:rPr>
        <w:t>e.g.,</w:t>
      </w:r>
      <w:r w:rsidR="003B2E5C" w:rsidRPr="003B2E5C">
        <w:rPr>
          <w:rFonts w:ascii="Arial" w:eastAsia="Arial" w:hAnsi="Arial" w:cs="Arial"/>
          <w:sz w:val="19"/>
        </w:rPr>
        <w:t xml:space="preserve"> solicitors.</w:t>
      </w:r>
    </w:p>
    <w:p w14:paraId="79CC64C5" w14:textId="77777777" w:rsidR="00236A91" w:rsidRDefault="00153021">
      <w:pPr>
        <w:spacing w:after="41" w:line="268" w:lineRule="auto"/>
        <w:ind w:left="422" w:hanging="10"/>
      </w:pPr>
      <w:r>
        <w:rPr>
          <w:rFonts w:ascii="Arial" w:eastAsia="Arial" w:hAnsi="Arial" w:cs="Arial"/>
          <w:sz w:val="19"/>
        </w:rPr>
        <w:t xml:space="preserve">Any suitable example would be valid to assist the explanation. </w:t>
      </w:r>
    </w:p>
    <w:p w14:paraId="3142D473" w14:textId="77777777" w:rsidR="00236A91" w:rsidRDefault="00153021">
      <w:pPr>
        <w:spacing w:after="0"/>
        <w:ind w:left="427"/>
      </w:pPr>
      <w:r>
        <w:t xml:space="preserve"> </w:t>
      </w:r>
    </w:p>
    <w:p w14:paraId="6BDD156B" w14:textId="77777777" w:rsidR="00236A91" w:rsidRDefault="00153021">
      <w:pPr>
        <w:spacing w:after="5" w:line="268" w:lineRule="auto"/>
        <w:ind w:left="422" w:right="51" w:hanging="10"/>
      </w:pPr>
      <w:r>
        <w:rPr>
          <w:rFonts w:ascii="Arial" w:eastAsia="Arial" w:hAnsi="Arial" w:cs="Arial"/>
          <w:sz w:val="20"/>
        </w:rPr>
        <w:t xml:space="preserve">(The relevant sections of the Study Manual are Part 4, Chapter 1.2 and 1.3) </w:t>
      </w:r>
    </w:p>
    <w:p w14:paraId="1B8B9B51" w14:textId="77777777" w:rsidR="00236A91" w:rsidRDefault="00153021">
      <w:pPr>
        <w:spacing w:after="24"/>
      </w:pPr>
      <w:r>
        <w:rPr>
          <w:rFonts w:ascii="Arial" w:eastAsia="Arial" w:hAnsi="Arial" w:cs="Arial"/>
          <w:b/>
          <w:sz w:val="19"/>
        </w:rPr>
        <w:t xml:space="preserve"> </w:t>
      </w:r>
    </w:p>
    <w:p w14:paraId="55D22633" w14:textId="77777777" w:rsidR="00236A91" w:rsidRDefault="00153021">
      <w:pPr>
        <w:spacing w:after="0"/>
        <w:ind w:left="10" w:right="66" w:hanging="10"/>
        <w:jc w:val="right"/>
      </w:pPr>
      <w:r>
        <w:rPr>
          <w:rFonts w:ascii="Arial" w:eastAsia="Arial" w:hAnsi="Arial" w:cs="Arial"/>
          <w:b/>
          <w:sz w:val="20"/>
        </w:rPr>
        <w:t xml:space="preserve">5 marks </w:t>
      </w:r>
    </w:p>
    <w:p w14:paraId="7A106012" w14:textId="77777777" w:rsidR="00236A91" w:rsidRDefault="00153021">
      <w:pPr>
        <w:spacing w:after="17"/>
      </w:pPr>
      <w:r>
        <w:rPr>
          <w:rFonts w:ascii="Arial" w:eastAsia="Arial" w:hAnsi="Arial" w:cs="Arial"/>
          <w:b/>
          <w:sz w:val="19"/>
        </w:rPr>
        <w:t xml:space="preserve"> </w:t>
      </w:r>
    </w:p>
    <w:p w14:paraId="614281CE" w14:textId="77777777" w:rsidR="00236A91" w:rsidRDefault="00153021">
      <w:pPr>
        <w:spacing w:after="47"/>
        <w:ind w:left="5331"/>
        <w:jc w:val="center"/>
      </w:pPr>
      <w:r>
        <w:rPr>
          <w:rFonts w:ascii="Arial" w:eastAsia="Arial" w:hAnsi="Arial" w:cs="Arial"/>
          <w:b/>
          <w:sz w:val="19"/>
        </w:rPr>
        <w:t xml:space="preserve"> </w:t>
      </w:r>
    </w:p>
    <w:p w14:paraId="4F7AB1FF" w14:textId="77777777" w:rsidR="00236A91" w:rsidRDefault="00153021">
      <w:pPr>
        <w:numPr>
          <w:ilvl w:val="0"/>
          <w:numId w:val="1"/>
        </w:numPr>
        <w:spacing w:after="12" w:line="268" w:lineRule="auto"/>
        <w:ind w:hanging="434"/>
        <w:jc w:val="both"/>
      </w:pPr>
      <w:r>
        <w:rPr>
          <w:rFonts w:ascii="Arial" w:eastAsia="Arial" w:hAnsi="Arial" w:cs="Arial"/>
          <w:b/>
          <w:sz w:val="19"/>
        </w:rPr>
        <w:t>Outline how you might ascertain your client’s attitude to risk, why it is important to do so and explain typical higher and lower risk investment strategies.</w:t>
      </w:r>
      <w:r>
        <w:rPr>
          <w:rFonts w:ascii="Arial" w:eastAsia="Arial" w:hAnsi="Arial" w:cs="Arial"/>
          <w:sz w:val="19"/>
        </w:rPr>
        <w:t xml:space="preserve"> </w:t>
      </w:r>
    </w:p>
    <w:p w14:paraId="310B6EA3" w14:textId="77777777" w:rsidR="00236A91" w:rsidRDefault="00153021">
      <w:pPr>
        <w:spacing w:after="17"/>
      </w:pPr>
      <w:r>
        <w:rPr>
          <w:rFonts w:ascii="Arial" w:eastAsia="Arial" w:hAnsi="Arial" w:cs="Arial"/>
          <w:b/>
          <w:sz w:val="19"/>
        </w:rPr>
        <w:t xml:space="preserve"> </w:t>
      </w:r>
    </w:p>
    <w:p w14:paraId="1EA02561" w14:textId="77777777" w:rsidR="00236A91" w:rsidRDefault="00153021">
      <w:pPr>
        <w:spacing w:after="18"/>
        <w:ind w:left="10" w:right="65" w:hanging="10"/>
        <w:jc w:val="right"/>
      </w:pPr>
      <w:r>
        <w:rPr>
          <w:rFonts w:ascii="Arial" w:eastAsia="Arial" w:hAnsi="Arial" w:cs="Arial"/>
          <w:b/>
          <w:sz w:val="19"/>
        </w:rPr>
        <w:t xml:space="preserve">30 marks </w:t>
      </w:r>
    </w:p>
    <w:p w14:paraId="00C6BCA1" w14:textId="77777777" w:rsidR="00236A91" w:rsidRDefault="00153021">
      <w:pPr>
        <w:spacing w:after="17"/>
      </w:pPr>
      <w:r>
        <w:rPr>
          <w:rFonts w:ascii="Arial" w:eastAsia="Arial" w:hAnsi="Arial" w:cs="Arial"/>
          <w:b/>
          <w:sz w:val="19"/>
        </w:rPr>
        <w:t xml:space="preserve"> </w:t>
      </w:r>
    </w:p>
    <w:p w14:paraId="2CCBF528" w14:textId="41854772" w:rsidR="005850E5" w:rsidRDefault="00153021">
      <w:pPr>
        <w:spacing w:after="5" w:line="268" w:lineRule="auto"/>
        <w:ind w:left="422" w:hanging="10"/>
        <w:rPr>
          <w:rFonts w:ascii="Arial" w:eastAsia="Arial" w:hAnsi="Arial" w:cs="Arial"/>
          <w:sz w:val="19"/>
        </w:rPr>
      </w:pPr>
      <w:r>
        <w:rPr>
          <w:rFonts w:ascii="Arial" w:eastAsia="Arial" w:hAnsi="Arial" w:cs="Arial"/>
          <w:sz w:val="19"/>
        </w:rPr>
        <w:t xml:space="preserve">Answers should cover the client relationship/scoping process. In particular the information sought during discussions and methods of weighting the various elements. </w:t>
      </w:r>
    </w:p>
    <w:p w14:paraId="44648D16" w14:textId="77777777" w:rsidR="005850E5" w:rsidRDefault="005850E5">
      <w:pPr>
        <w:spacing w:after="5" w:line="268" w:lineRule="auto"/>
        <w:ind w:left="422" w:hanging="10"/>
        <w:rPr>
          <w:rFonts w:ascii="Arial" w:eastAsia="Arial" w:hAnsi="Arial" w:cs="Arial"/>
          <w:sz w:val="19"/>
        </w:rPr>
      </w:pPr>
    </w:p>
    <w:p w14:paraId="766330C2" w14:textId="77777777" w:rsidR="005850E5" w:rsidRDefault="005850E5">
      <w:pPr>
        <w:spacing w:after="5" w:line="268" w:lineRule="auto"/>
        <w:ind w:left="422" w:hanging="10"/>
        <w:rPr>
          <w:rFonts w:ascii="Arial" w:eastAsia="Arial" w:hAnsi="Arial" w:cs="Arial"/>
          <w:sz w:val="19"/>
        </w:rPr>
      </w:pPr>
      <w:r>
        <w:rPr>
          <w:rFonts w:ascii="Arial" w:eastAsia="Arial" w:hAnsi="Arial" w:cs="Arial"/>
          <w:sz w:val="19"/>
        </w:rPr>
        <w:t>A</w:t>
      </w:r>
      <w:r w:rsidRPr="005850E5">
        <w:rPr>
          <w:rFonts w:ascii="Arial" w:eastAsia="Arial" w:hAnsi="Arial" w:cs="Arial"/>
          <w:sz w:val="19"/>
        </w:rPr>
        <w:t xml:space="preserve">n adviser to understand the client’s needs and objectives he will need to go through the following stages: </w:t>
      </w:r>
    </w:p>
    <w:p w14:paraId="32D44858" w14:textId="77777777" w:rsidR="005850E5" w:rsidRDefault="005850E5">
      <w:pPr>
        <w:spacing w:after="5" w:line="268" w:lineRule="auto"/>
        <w:ind w:left="422" w:hanging="10"/>
        <w:rPr>
          <w:rFonts w:ascii="Arial" w:eastAsia="Arial" w:hAnsi="Arial" w:cs="Arial"/>
          <w:sz w:val="19"/>
        </w:rPr>
      </w:pPr>
      <w:r w:rsidRPr="005850E5">
        <w:rPr>
          <w:rFonts w:ascii="Arial" w:eastAsia="Arial" w:hAnsi="Arial" w:cs="Arial"/>
          <w:sz w:val="19"/>
        </w:rPr>
        <w:t xml:space="preserve">• recognise the client’s needs and objectives </w:t>
      </w:r>
    </w:p>
    <w:p w14:paraId="282DE201" w14:textId="77777777" w:rsidR="005850E5" w:rsidRDefault="005850E5">
      <w:pPr>
        <w:spacing w:after="5" w:line="268" w:lineRule="auto"/>
        <w:ind w:left="422" w:hanging="10"/>
        <w:rPr>
          <w:rFonts w:ascii="Arial" w:eastAsia="Arial" w:hAnsi="Arial" w:cs="Arial"/>
          <w:sz w:val="19"/>
        </w:rPr>
      </w:pPr>
      <w:r w:rsidRPr="005850E5">
        <w:rPr>
          <w:rFonts w:ascii="Arial" w:eastAsia="Arial" w:hAnsi="Arial" w:cs="Arial"/>
          <w:sz w:val="19"/>
        </w:rPr>
        <w:t xml:space="preserve">• distinguish between immediate and future objectives </w:t>
      </w:r>
    </w:p>
    <w:p w14:paraId="66C7ED66" w14:textId="77777777" w:rsidR="005850E5" w:rsidRDefault="005850E5">
      <w:pPr>
        <w:spacing w:after="5" w:line="268" w:lineRule="auto"/>
        <w:ind w:left="422" w:hanging="10"/>
        <w:rPr>
          <w:rFonts w:ascii="Arial" w:eastAsia="Arial" w:hAnsi="Arial" w:cs="Arial"/>
          <w:sz w:val="19"/>
        </w:rPr>
      </w:pPr>
      <w:r w:rsidRPr="005850E5">
        <w:rPr>
          <w:rFonts w:ascii="Arial" w:eastAsia="Arial" w:hAnsi="Arial" w:cs="Arial"/>
          <w:sz w:val="19"/>
        </w:rPr>
        <w:t xml:space="preserve">• quantify and qualify the objectives </w:t>
      </w:r>
    </w:p>
    <w:p w14:paraId="633F1D6A" w14:textId="77EBE69C" w:rsidR="00236A91" w:rsidRDefault="005850E5">
      <w:pPr>
        <w:spacing w:after="5" w:line="268" w:lineRule="auto"/>
        <w:ind w:left="422" w:hanging="10"/>
        <w:rPr>
          <w:rFonts w:ascii="Arial" w:eastAsia="Arial" w:hAnsi="Arial" w:cs="Arial"/>
          <w:sz w:val="19"/>
        </w:rPr>
      </w:pPr>
      <w:r w:rsidRPr="005850E5">
        <w:rPr>
          <w:rFonts w:ascii="Arial" w:eastAsia="Arial" w:hAnsi="Arial" w:cs="Arial"/>
          <w:sz w:val="19"/>
        </w:rPr>
        <w:t>• prioritise the objectives.</w:t>
      </w:r>
    </w:p>
    <w:p w14:paraId="2FFAE8BB" w14:textId="47BF23BA" w:rsidR="005850E5" w:rsidRDefault="005850E5">
      <w:pPr>
        <w:spacing w:after="5" w:line="268" w:lineRule="auto"/>
        <w:ind w:left="422" w:hanging="10"/>
        <w:rPr>
          <w:rFonts w:ascii="Arial" w:eastAsia="Arial" w:hAnsi="Arial" w:cs="Arial"/>
          <w:sz w:val="19"/>
        </w:rPr>
      </w:pPr>
    </w:p>
    <w:p w14:paraId="02605BB0" w14:textId="77777777" w:rsidR="005850E5" w:rsidRDefault="005850E5">
      <w:pPr>
        <w:spacing w:after="5" w:line="268" w:lineRule="auto"/>
        <w:ind w:left="422" w:hanging="10"/>
      </w:pPr>
      <w:r>
        <w:lastRenderedPageBreak/>
        <w:t xml:space="preserve">Investors can </w:t>
      </w:r>
      <w:r w:rsidRPr="005850E5">
        <w:t xml:space="preserve">be placed into one of the five following risk classes: </w:t>
      </w:r>
    </w:p>
    <w:p w14:paraId="2CF6B72A" w14:textId="77777777" w:rsidR="005850E5" w:rsidRDefault="005850E5">
      <w:pPr>
        <w:spacing w:after="5" w:line="268" w:lineRule="auto"/>
        <w:ind w:left="422" w:hanging="10"/>
      </w:pPr>
      <w:r w:rsidRPr="005850E5">
        <w:t xml:space="preserve">• no risk – they are not prepared to see any fall in the value of their investments </w:t>
      </w:r>
    </w:p>
    <w:p w14:paraId="4142F40F" w14:textId="77777777" w:rsidR="005850E5" w:rsidRDefault="005850E5">
      <w:pPr>
        <w:spacing w:after="5" w:line="268" w:lineRule="auto"/>
        <w:ind w:left="422" w:hanging="10"/>
      </w:pPr>
      <w:r w:rsidRPr="005850E5">
        <w:t xml:space="preserve">• low risk – they are prepared to accept some fluctuation in the value of their investments in return for long- term growth but will mainly invest in secure investments </w:t>
      </w:r>
    </w:p>
    <w:p w14:paraId="15C86660" w14:textId="5D97C56A" w:rsidR="005850E5" w:rsidRDefault="005850E5">
      <w:pPr>
        <w:spacing w:after="5" w:line="268" w:lineRule="auto"/>
        <w:ind w:left="422" w:hanging="10"/>
      </w:pPr>
      <w:r w:rsidRPr="005850E5">
        <w:t>• medium risk – they will have some cash or bond investment but will have a fair proportion in asset</w:t>
      </w:r>
      <w:r>
        <w:t>-based</w:t>
      </w:r>
      <w:r w:rsidRPr="005850E5">
        <w:t xml:space="preserve"> investments in a diversified investment scheme or share portfolio </w:t>
      </w:r>
    </w:p>
    <w:p w14:paraId="22681086" w14:textId="3B9A262D" w:rsidR="005850E5" w:rsidRDefault="005850E5">
      <w:pPr>
        <w:spacing w:after="5" w:line="268" w:lineRule="auto"/>
        <w:ind w:left="422" w:hanging="10"/>
      </w:pPr>
      <w:r w:rsidRPr="005850E5">
        <w:t xml:space="preserve">• medium-high risk – they will be prepared to invest outside the UK and in high-risk funds. Cash will be kept to the minimum and they may choose to sacrifice some diversification for a more focused and volatile portfolio </w:t>
      </w:r>
    </w:p>
    <w:p w14:paraId="0ACA6F97" w14:textId="23B77121" w:rsidR="005850E5" w:rsidRDefault="005850E5">
      <w:pPr>
        <w:spacing w:after="5" w:line="268" w:lineRule="auto"/>
        <w:ind w:left="422" w:hanging="10"/>
      </w:pPr>
      <w:r w:rsidRPr="005850E5">
        <w:t>• high risk – they are prepared to have direct holdings in listed and unlisted shares, high risk funds and highly geared unprotected structured product. Cash will be kept to a minimum.</w:t>
      </w:r>
    </w:p>
    <w:p w14:paraId="4F7BBE3A" w14:textId="593D9C99" w:rsidR="005850E5" w:rsidRDefault="005850E5">
      <w:pPr>
        <w:spacing w:after="5" w:line="268" w:lineRule="auto"/>
        <w:ind w:left="422" w:hanging="10"/>
      </w:pPr>
    </w:p>
    <w:p w14:paraId="51611A1B" w14:textId="77777777" w:rsidR="005850E5" w:rsidRDefault="005850E5">
      <w:pPr>
        <w:spacing w:after="5" w:line="268" w:lineRule="auto"/>
        <w:ind w:left="422" w:hanging="10"/>
      </w:pPr>
      <w:r w:rsidRPr="005850E5">
        <w:t xml:space="preserve">Capacity for Loss. The guidance recommended that “firms should ensure: </w:t>
      </w:r>
    </w:p>
    <w:p w14:paraId="6D0F947A" w14:textId="77777777" w:rsidR="005850E5" w:rsidRDefault="005850E5">
      <w:pPr>
        <w:spacing w:after="5" w:line="268" w:lineRule="auto"/>
        <w:ind w:left="422" w:hanging="10"/>
      </w:pPr>
      <w:r w:rsidRPr="005850E5">
        <w:t xml:space="preserve">• they have a robust process for assessing the risk a customer is willing and able to take, including: - assessing a customer’s Capacity for Loss - identifying customers that are best suited to placing their money in cash deposits because they are unwilling or unable to accept the risk of loss of capital - appropriately interpreting customer responses to questions and not attributing inappropriate weight to certain answers </w:t>
      </w:r>
    </w:p>
    <w:p w14:paraId="232F7629" w14:textId="77777777" w:rsidR="005850E5" w:rsidRDefault="005850E5">
      <w:pPr>
        <w:spacing w:after="5" w:line="268" w:lineRule="auto"/>
        <w:ind w:left="422" w:hanging="10"/>
      </w:pPr>
      <w:r w:rsidRPr="005850E5">
        <w:t xml:space="preserve">• any risk-profiling or asset allocation tools, where used, are fit for purpose and any limitations recognised and mitigated </w:t>
      </w:r>
    </w:p>
    <w:p w14:paraId="72314300" w14:textId="78394AB6" w:rsidR="005850E5" w:rsidRDefault="005850E5">
      <w:pPr>
        <w:spacing w:after="5" w:line="268" w:lineRule="auto"/>
        <w:ind w:left="422" w:hanging="10"/>
      </w:pPr>
      <w:r w:rsidRPr="005850E5">
        <w:t xml:space="preserve">• any questions and answers that are used to establish the risk a customer is willing and able to take, and descriptions used to check this, are fair, </w:t>
      </w:r>
      <w:r w:rsidR="005A4C98" w:rsidRPr="005850E5">
        <w:t>clear,</w:t>
      </w:r>
      <w:r w:rsidRPr="005850E5">
        <w:t xml:space="preserve"> and not misleading </w:t>
      </w:r>
    </w:p>
    <w:p w14:paraId="5D4921CC" w14:textId="77777777" w:rsidR="005850E5" w:rsidRDefault="005850E5">
      <w:pPr>
        <w:spacing w:after="5" w:line="268" w:lineRule="auto"/>
        <w:ind w:left="422" w:hanging="10"/>
      </w:pPr>
      <w:r w:rsidRPr="005850E5">
        <w:t xml:space="preserve">• they have a robust and flexible process for ensuring investment selections are suitable given all aspects of a customer’s investment objectives and financial situation (including the risk they are willing and able to take) as well as their knowledge and experience </w:t>
      </w:r>
    </w:p>
    <w:p w14:paraId="47B7D768" w14:textId="77777777" w:rsidR="005850E5" w:rsidRDefault="005850E5">
      <w:pPr>
        <w:spacing w:after="5" w:line="268" w:lineRule="auto"/>
        <w:ind w:left="422" w:hanging="10"/>
      </w:pPr>
      <w:r w:rsidRPr="005850E5">
        <w:t xml:space="preserve">• they understand the nature and risks of products or assets selected for customers, and </w:t>
      </w:r>
    </w:p>
    <w:p w14:paraId="2BAD7825" w14:textId="59A27037" w:rsidR="005850E5" w:rsidRDefault="005850E5">
      <w:pPr>
        <w:spacing w:after="5" w:line="268" w:lineRule="auto"/>
        <w:ind w:left="422" w:hanging="10"/>
      </w:pPr>
      <w:r w:rsidRPr="005850E5">
        <w:t>• they engage customers in a suitability assessment process (including risk-profiling) which acts in the best interests of those customers.”</w:t>
      </w:r>
    </w:p>
    <w:p w14:paraId="17C21C6B" w14:textId="6F665C8A" w:rsidR="00FD3E63" w:rsidRPr="00FD3E63" w:rsidRDefault="00153021" w:rsidP="00FD3E63">
      <w:pPr>
        <w:spacing w:after="17"/>
      </w:pPr>
      <w:r>
        <w:rPr>
          <w:rFonts w:ascii="Arial" w:eastAsia="Arial" w:hAnsi="Arial" w:cs="Arial"/>
          <w:sz w:val="19"/>
        </w:rPr>
        <w:t xml:space="preserve"> </w:t>
      </w:r>
    </w:p>
    <w:p w14:paraId="14E7D497" w14:textId="77777777" w:rsidR="00FD3E63" w:rsidRDefault="00FD3E63">
      <w:pPr>
        <w:spacing w:after="5" w:line="268" w:lineRule="auto"/>
        <w:ind w:left="422" w:hanging="10"/>
        <w:rPr>
          <w:rFonts w:ascii="Arial" w:eastAsia="Arial" w:hAnsi="Arial" w:cs="Arial"/>
          <w:sz w:val="19"/>
        </w:rPr>
      </w:pPr>
    </w:p>
    <w:p w14:paraId="63B9C317" w14:textId="77777777" w:rsidR="00FD3E63" w:rsidRDefault="00FD3E63">
      <w:pPr>
        <w:spacing w:after="5" w:line="268" w:lineRule="auto"/>
        <w:ind w:left="422" w:hanging="10"/>
        <w:rPr>
          <w:rFonts w:ascii="Arial" w:eastAsia="Arial" w:hAnsi="Arial" w:cs="Arial"/>
          <w:sz w:val="19"/>
        </w:rPr>
      </w:pPr>
      <w:r w:rsidRPr="00FD3E63">
        <w:rPr>
          <w:rFonts w:ascii="Arial" w:eastAsia="Arial" w:hAnsi="Arial" w:cs="Arial"/>
          <w:sz w:val="19"/>
        </w:rPr>
        <w:t>Lower risk</w:t>
      </w:r>
    </w:p>
    <w:p w14:paraId="326E81BF" w14:textId="77777777" w:rsidR="00FD3E63" w:rsidRDefault="00FD3E63">
      <w:pPr>
        <w:spacing w:after="5" w:line="268" w:lineRule="auto"/>
        <w:ind w:left="422" w:hanging="10"/>
        <w:rPr>
          <w:rFonts w:ascii="Arial" w:eastAsia="Arial" w:hAnsi="Arial" w:cs="Arial"/>
          <w:sz w:val="19"/>
        </w:rPr>
      </w:pPr>
      <w:r w:rsidRPr="00FD3E63">
        <w:rPr>
          <w:rFonts w:ascii="Arial" w:eastAsia="Arial" w:hAnsi="Arial" w:cs="Arial"/>
          <w:sz w:val="19"/>
        </w:rPr>
        <w:t xml:space="preserve">Fixed Interest • Gilt funds • Global Government bond funds • Investment grade corporate bond funds Equities • Equity income funds • Income and growth funds </w:t>
      </w:r>
    </w:p>
    <w:p w14:paraId="0A038FF3" w14:textId="77777777" w:rsidR="00FD3E63" w:rsidRDefault="00FD3E63">
      <w:pPr>
        <w:spacing w:after="5" w:line="268" w:lineRule="auto"/>
        <w:ind w:left="422" w:hanging="10"/>
        <w:rPr>
          <w:rFonts w:ascii="Arial" w:eastAsia="Arial" w:hAnsi="Arial" w:cs="Arial"/>
          <w:sz w:val="19"/>
        </w:rPr>
      </w:pPr>
    </w:p>
    <w:p w14:paraId="63ECFBFD" w14:textId="54743AE0" w:rsidR="00236A91" w:rsidRDefault="00FD3E63">
      <w:pPr>
        <w:spacing w:after="5" w:line="268" w:lineRule="auto"/>
        <w:ind w:left="422" w:hanging="10"/>
      </w:pPr>
      <w:r w:rsidRPr="00FD3E63">
        <w:rPr>
          <w:rFonts w:ascii="Arial" w:eastAsia="Arial" w:hAnsi="Arial" w:cs="Arial"/>
          <w:sz w:val="19"/>
        </w:rPr>
        <w:t>Higher risk • Emerging market bond funds • High-yield bond funds • Strategic bond funds • Alpha funds • Smaller company funds • Specialist funds (e.g. technology)</w:t>
      </w:r>
    </w:p>
    <w:p w14:paraId="158BF8BF" w14:textId="77777777" w:rsidR="00236A91" w:rsidRDefault="00153021">
      <w:pPr>
        <w:spacing w:after="39"/>
        <w:ind w:left="427"/>
      </w:pPr>
      <w:r>
        <w:rPr>
          <w:rFonts w:ascii="Arial" w:eastAsia="Arial" w:hAnsi="Arial" w:cs="Arial"/>
          <w:sz w:val="19"/>
        </w:rPr>
        <w:t xml:space="preserve"> </w:t>
      </w:r>
    </w:p>
    <w:p w14:paraId="35D27714" w14:textId="77777777" w:rsidR="00236A91" w:rsidRDefault="00153021">
      <w:pPr>
        <w:numPr>
          <w:ilvl w:val="1"/>
          <w:numId w:val="1"/>
        </w:numPr>
        <w:spacing w:after="5" w:line="268" w:lineRule="auto"/>
        <w:ind w:right="25" w:hanging="180"/>
      </w:pPr>
      <w:r>
        <w:rPr>
          <w:rFonts w:ascii="Arial" w:eastAsia="Arial" w:hAnsi="Arial" w:cs="Arial"/>
          <w:sz w:val="19"/>
        </w:rPr>
        <w:t xml:space="preserve">full answer should cover the Financial Conduct Authority’s expectations and concerns in this area. </w:t>
      </w:r>
    </w:p>
    <w:p w14:paraId="662EFCE0" w14:textId="77777777" w:rsidR="00236A91" w:rsidRDefault="00153021">
      <w:pPr>
        <w:spacing w:after="17"/>
      </w:pPr>
      <w:r>
        <w:rPr>
          <w:rFonts w:ascii="Arial" w:eastAsia="Arial" w:hAnsi="Arial" w:cs="Arial"/>
          <w:sz w:val="19"/>
        </w:rPr>
        <w:t xml:space="preserve"> </w:t>
      </w:r>
    </w:p>
    <w:p w14:paraId="33A80993" w14:textId="77777777" w:rsidR="00236A91" w:rsidRDefault="00153021">
      <w:pPr>
        <w:spacing w:after="24"/>
      </w:pPr>
      <w:r>
        <w:rPr>
          <w:rFonts w:ascii="Arial" w:eastAsia="Arial" w:hAnsi="Arial" w:cs="Arial"/>
          <w:sz w:val="19"/>
        </w:rPr>
        <w:t xml:space="preserve"> </w:t>
      </w:r>
    </w:p>
    <w:p w14:paraId="50840AF7" w14:textId="6DC69FC3" w:rsidR="00236A91" w:rsidRDefault="00153021">
      <w:pPr>
        <w:spacing w:after="5" w:line="268" w:lineRule="auto"/>
        <w:ind w:left="422" w:right="51" w:hanging="10"/>
      </w:pPr>
      <w:r>
        <w:rPr>
          <w:rFonts w:ascii="Arial" w:eastAsia="Arial" w:hAnsi="Arial" w:cs="Arial"/>
          <w:sz w:val="20"/>
        </w:rPr>
        <w:t xml:space="preserve">(The relevant sections of the Study Manual are Part 3, Chapter </w:t>
      </w:r>
      <w:r w:rsidR="005850E5">
        <w:rPr>
          <w:rFonts w:ascii="Arial" w:eastAsia="Arial" w:hAnsi="Arial" w:cs="Arial"/>
          <w:sz w:val="20"/>
        </w:rPr>
        <w:t xml:space="preserve">2.1, </w:t>
      </w:r>
      <w:r>
        <w:rPr>
          <w:rFonts w:ascii="Arial" w:eastAsia="Arial" w:hAnsi="Arial" w:cs="Arial"/>
          <w:sz w:val="20"/>
        </w:rPr>
        <w:t xml:space="preserve">2.2 and 2.4) </w:t>
      </w:r>
    </w:p>
    <w:p w14:paraId="74A59944" w14:textId="77777777" w:rsidR="00236A91" w:rsidRDefault="00153021">
      <w:pPr>
        <w:spacing w:after="17"/>
      </w:pPr>
      <w:r>
        <w:rPr>
          <w:rFonts w:ascii="Arial" w:eastAsia="Arial" w:hAnsi="Arial" w:cs="Arial"/>
          <w:b/>
          <w:sz w:val="19"/>
        </w:rPr>
        <w:t xml:space="preserve"> </w:t>
      </w:r>
    </w:p>
    <w:p w14:paraId="0FF5C95B" w14:textId="77777777" w:rsidR="00236A91" w:rsidRDefault="00153021">
      <w:pPr>
        <w:spacing w:after="17"/>
      </w:pPr>
      <w:r>
        <w:rPr>
          <w:rFonts w:ascii="Arial" w:eastAsia="Arial" w:hAnsi="Arial" w:cs="Arial"/>
          <w:b/>
          <w:sz w:val="19"/>
        </w:rPr>
        <w:t xml:space="preserve"> </w:t>
      </w:r>
    </w:p>
    <w:p w14:paraId="633A6114" w14:textId="77777777" w:rsidR="00236A91" w:rsidRDefault="00153021">
      <w:pPr>
        <w:spacing w:after="18"/>
        <w:ind w:left="10" w:right="65" w:hanging="10"/>
        <w:jc w:val="right"/>
      </w:pPr>
      <w:r>
        <w:rPr>
          <w:rFonts w:ascii="Arial" w:eastAsia="Arial" w:hAnsi="Arial" w:cs="Arial"/>
          <w:b/>
          <w:sz w:val="19"/>
        </w:rPr>
        <w:t xml:space="preserve">30 marks </w:t>
      </w:r>
    </w:p>
    <w:p w14:paraId="51AB1EDF" w14:textId="77777777" w:rsidR="00236A91" w:rsidRDefault="00153021">
      <w:pPr>
        <w:spacing w:after="17"/>
      </w:pPr>
      <w:r>
        <w:rPr>
          <w:rFonts w:ascii="Arial" w:eastAsia="Arial" w:hAnsi="Arial" w:cs="Arial"/>
          <w:b/>
          <w:sz w:val="19"/>
        </w:rPr>
        <w:t xml:space="preserve"> </w:t>
      </w:r>
    </w:p>
    <w:p w14:paraId="2CCC2C5A" w14:textId="77777777" w:rsidR="00236A91" w:rsidRDefault="00153021">
      <w:pPr>
        <w:spacing w:after="17"/>
      </w:pPr>
      <w:r>
        <w:rPr>
          <w:rFonts w:ascii="Arial" w:eastAsia="Arial" w:hAnsi="Arial" w:cs="Arial"/>
          <w:b/>
          <w:sz w:val="19"/>
        </w:rPr>
        <w:t xml:space="preserve"> </w:t>
      </w:r>
    </w:p>
    <w:p w14:paraId="2FCE3C48" w14:textId="77777777" w:rsidR="00236A91" w:rsidRDefault="00153021">
      <w:pPr>
        <w:spacing w:after="14"/>
      </w:pPr>
      <w:r>
        <w:rPr>
          <w:rFonts w:ascii="Arial" w:eastAsia="Arial" w:hAnsi="Arial" w:cs="Arial"/>
          <w:b/>
          <w:sz w:val="19"/>
        </w:rPr>
        <w:lastRenderedPageBreak/>
        <w:t xml:space="preserve"> </w:t>
      </w:r>
    </w:p>
    <w:p w14:paraId="15EB69DB" w14:textId="77777777" w:rsidR="00236A91" w:rsidRDefault="00153021">
      <w:pPr>
        <w:spacing w:after="17"/>
      </w:pPr>
      <w:r>
        <w:rPr>
          <w:rFonts w:ascii="Arial" w:eastAsia="Arial" w:hAnsi="Arial" w:cs="Arial"/>
          <w:b/>
          <w:sz w:val="19"/>
        </w:rPr>
        <w:t xml:space="preserve"> </w:t>
      </w:r>
    </w:p>
    <w:p w14:paraId="0348A5EB" w14:textId="77777777" w:rsidR="00236A91" w:rsidRDefault="00153021">
      <w:pPr>
        <w:spacing w:after="0"/>
        <w:ind w:left="5331"/>
        <w:jc w:val="center"/>
      </w:pPr>
      <w:r>
        <w:rPr>
          <w:rFonts w:ascii="Arial" w:eastAsia="Arial" w:hAnsi="Arial" w:cs="Arial"/>
          <w:b/>
          <w:sz w:val="19"/>
        </w:rPr>
        <w:t xml:space="preserve"> </w:t>
      </w:r>
    </w:p>
    <w:p w14:paraId="1511D40F" w14:textId="77777777" w:rsidR="00236A91" w:rsidRDefault="00153021">
      <w:pPr>
        <w:numPr>
          <w:ilvl w:val="0"/>
          <w:numId w:val="1"/>
        </w:numPr>
        <w:spacing w:after="12" w:line="268" w:lineRule="auto"/>
        <w:ind w:hanging="434"/>
        <w:jc w:val="both"/>
      </w:pPr>
      <w:r>
        <w:rPr>
          <w:rFonts w:ascii="Arial" w:eastAsia="Arial" w:hAnsi="Arial" w:cs="Arial"/>
          <w:b/>
          <w:sz w:val="19"/>
        </w:rPr>
        <w:t xml:space="preserve">Describe how and when an adviser should report on portfolio performance to a client. </w:t>
      </w:r>
    </w:p>
    <w:p w14:paraId="6800F2F4" w14:textId="77777777" w:rsidR="00236A91" w:rsidRDefault="00153021">
      <w:pPr>
        <w:spacing w:after="20"/>
        <w:ind w:left="434"/>
      </w:pPr>
      <w:r>
        <w:rPr>
          <w:rFonts w:ascii="Arial" w:eastAsia="Arial" w:hAnsi="Arial" w:cs="Arial"/>
          <w:b/>
          <w:sz w:val="19"/>
        </w:rPr>
        <w:t xml:space="preserve"> </w:t>
      </w:r>
      <w:r>
        <w:rPr>
          <w:rFonts w:ascii="Arial" w:eastAsia="Arial" w:hAnsi="Arial" w:cs="Arial"/>
          <w:b/>
          <w:sz w:val="19"/>
        </w:rPr>
        <w:tab/>
        <w:t xml:space="preserve"> </w:t>
      </w:r>
    </w:p>
    <w:p w14:paraId="077571A1" w14:textId="77777777" w:rsidR="00236A91" w:rsidRDefault="00153021">
      <w:pPr>
        <w:spacing w:after="17"/>
      </w:pPr>
      <w:r>
        <w:rPr>
          <w:rFonts w:ascii="Arial" w:eastAsia="Arial" w:hAnsi="Arial" w:cs="Arial"/>
          <w:b/>
          <w:sz w:val="19"/>
        </w:rPr>
        <w:t xml:space="preserve"> </w:t>
      </w:r>
    </w:p>
    <w:p w14:paraId="3F94F20C" w14:textId="77777777" w:rsidR="00236A91" w:rsidRDefault="00153021">
      <w:pPr>
        <w:spacing w:after="18"/>
        <w:ind w:left="10" w:right="65" w:hanging="10"/>
        <w:jc w:val="right"/>
      </w:pPr>
      <w:r>
        <w:rPr>
          <w:rFonts w:ascii="Arial" w:eastAsia="Arial" w:hAnsi="Arial" w:cs="Arial"/>
          <w:b/>
          <w:sz w:val="19"/>
        </w:rPr>
        <w:t xml:space="preserve">15 marks </w:t>
      </w:r>
    </w:p>
    <w:p w14:paraId="501697EA" w14:textId="77777777" w:rsidR="00236A91" w:rsidRDefault="00153021">
      <w:pPr>
        <w:spacing w:after="14"/>
      </w:pPr>
      <w:r>
        <w:rPr>
          <w:rFonts w:ascii="Arial" w:eastAsia="Arial" w:hAnsi="Arial" w:cs="Arial"/>
          <w:b/>
          <w:sz w:val="19"/>
        </w:rPr>
        <w:t xml:space="preserve"> </w:t>
      </w:r>
    </w:p>
    <w:p w14:paraId="0DCED8E2" w14:textId="77777777" w:rsidR="00236A91" w:rsidRDefault="00153021">
      <w:pPr>
        <w:spacing w:after="5" w:line="268" w:lineRule="auto"/>
        <w:ind w:left="422" w:hanging="10"/>
      </w:pPr>
      <w:r>
        <w:rPr>
          <w:rFonts w:ascii="Arial" w:eastAsia="Arial" w:hAnsi="Arial" w:cs="Arial"/>
          <w:sz w:val="19"/>
        </w:rPr>
        <w:t xml:space="preserve">Answers should include the contents of typical reports. Examples would be useful to illustrate.   </w:t>
      </w:r>
    </w:p>
    <w:p w14:paraId="536306A7" w14:textId="77777777" w:rsidR="00236A91" w:rsidRDefault="00153021">
      <w:pPr>
        <w:spacing w:after="17"/>
        <w:ind w:left="427"/>
      </w:pPr>
      <w:r>
        <w:rPr>
          <w:rFonts w:ascii="Arial" w:eastAsia="Arial" w:hAnsi="Arial" w:cs="Arial"/>
          <w:sz w:val="19"/>
        </w:rPr>
        <w:t xml:space="preserve"> </w:t>
      </w:r>
    </w:p>
    <w:p w14:paraId="1903297C" w14:textId="77777777" w:rsidR="00236A91" w:rsidRDefault="00153021">
      <w:pPr>
        <w:spacing w:after="25" w:line="268" w:lineRule="auto"/>
        <w:ind w:left="422" w:hanging="10"/>
      </w:pPr>
      <w:r>
        <w:rPr>
          <w:rFonts w:ascii="Arial" w:eastAsia="Arial" w:hAnsi="Arial" w:cs="Arial"/>
          <w:sz w:val="19"/>
        </w:rPr>
        <w:t xml:space="preserve">Coverage of measures of investment performance should be included: </w:t>
      </w:r>
    </w:p>
    <w:p w14:paraId="295B3458" w14:textId="7260DA3B" w:rsidR="00236A91" w:rsidRDefault="00153021">
      <w:pPr>
        <w:numPr>
          <w:ilvl w:val="1"/>
          <w:numId w:val="4"/>
        </w:numPr>
        <w:spacing w:after="5" w:line="268" w:lineRule="auto"/>
        <w:ind w:hanging="425"/>
      </w:pPr>
      <w:r>
        <w:rPr>
          <w:rFonts w:ascii="Arial" w:eastAsia="Arial" w:hAnsi="Arial" w:cs="Arial"/>
          <w:sz w:val="19"/>
        </w:rPr>
        <w:t>Money weighted rate of return</w:t>
      </w:r>
      <w:r w:rsidR="005A4C98" w:rsidRPr="005A4C98">
        <w:rPr>
          <w:rFonts w:ascii="Arial" w:eastAsia="Arial" w:hAnsi="Arial" w:cs="Arial"/>
          <w:sz w:val="19"/>
        </w:rPr>
        <w:t xml:space="preserve"> can be used to calculate investment performance for a portfolio. It allows the investor to determine the rate of return during a selected period of time for which his capital has been invested. The return on the portfolio is the difference in the value of the portfolio at the end compared with the value at the start of the period adjusted for any income or capital distributions made from the portfolio during that period.</w:t>
      </w:r>
    </w:p>
    <w:p w14:paraId="2AF3D396" w14:textId="25AF273A" w:rsidR="00236A91" w:rsidRDefault="00153021">
      <w:pPr>
        <w:numPr>
          <w:ilvl w:val="1"/>
          <w:numId w:val="4"/>
        </w:numPr>
        <w:spacing w:after="5" w:line="268" w:lineRule="auto"/>
        <w:ind w:hanging="425"/>
      </w:pPr>
      <w:r>
        <w:rPr>
          <w:rFonts w:ascii="Arial" w:eastAsia="Arial" w:hAnsi="Arial" w:cs="Arial"/>
          <w:sz w:val="19"/>
        </w:rPr>
        <w:t xml:space="preserve">Time weighted rate of return </w:t>
      </w:r>
      <w:r w:rsidR="005A4C98" w:rsidRPr="005A4C98">
        <w:rPr>
          <w:rFonts w:ascii="Arial" w:eastAsia="Arial" w:hAnsi="Arial" w:cs="Arial"/>
          <w:sz w:val="19"/>
        </w:rPr>
        <w:t>compound the results for each sub-period. This is regarded as a better measure of performance and is better suited to be an evaluation tool of investment managers’ performance: it allows comparisons to be made more easily. The time-weighted return links together elements over the whole period of investment and is not sensitive to contributions or withdrawals. Essentially it is the compounded growth rate over time, hence “time weighed”, of the actual investments for all of the sub-periods being measured.</w:t>
      </w:r>
    </w:p>
    <w:p w14:paraId="6708DD22" w14:textId="056789AA" w:rsidR="00236A91" w:rsidRDefault="00153021">
      <w:pPr>
        <w:numPr>
          <w:ilvl w:val="1"/>
          <w:numId w:val="4"/>
        </w:numPr>
        <w:spacing w:after="5" w:line="268" w:lineRule="auto"/>
        <w:ind w:hanging="425"/>
      </w:pPr>
      <w:r>
        <w:rPr>
          <w:rFonts w:ascii="Arial" w:eastAsia="Arial" w:hAnsi="Arial" w:cs="Arial"/>
          <w:sz w:val="19"/>
        </w:rPr>
        <w:t>Relevant benchmark</w:t>
      </w:r>
      <w:r w:rsidR="005A4C98">
        <w:rPr>
          <w:rFonts w:ascii="Arial" w:eastAsia="Arial" w:hAnsi="Arial" w:cs="Arial"/>
          <w:sz w:val="19"/>
        </w:rPr>
        <w:t xml:space="preserve"> </w:t>
      </w:r>
      <w:r w:rsidR="005A4C98" w:rsidRPr="005A4C98">
        <w:rPr>
          <w:rFonts w:ascii="Arial" w:eastAsia="Arial" w:hAnsi="Arial" w:cs="Arial"/>
          <w:sz w:val="19"/>
        </w:rPr>
        <w:t>is a standard against which an asset</w:t>
      </w:r>
      <w:r w:rsidR="005A4C98">
        <w:rPr>
          <w:rFonts w:ascii="Arial" w:eastAsia="Arial" w:hAnsi="Arial" w:cs="Arial"/>
          <w:sz w:val="19"/>
        </w:rPr>
        <w:t>’</w:t>
      </w:r>
      <w:r w:rsidR="005A4C98" w:rsidRPr="005A4C98">
        <w:rPr>
          <w:rFonts w:ascii="Arial" w:eastAsia="Arial" w:hAnsi="Arial" w:cs="Arial"/>
          <w:sz w:val="19"/>
        </w:rPr>
        <w:t>s or a fund’s performance can be measured. A client’s investment needs may or may not dovetail with a carefully selected benchmarked fund. An adviser should find out the asset allocation for the benchmarked fund and separately would need to establish if this met the client’s needs – indeed a benchmark could be customised for an important client or group of clients.</w:t>
      </w:r>
    </w:p>
    <w:p w14:paraId="5A1851AB" w14:textId="77777777" w:rsidR="00236A91" w:rsidRDefault="00153021">
      <w:pPr>
        <w:spacing w:after="14"/>
        <w:ind w:left="427"/>
      </w:pPr>
      <w:r>
        <w:rPr>
          <w:rFonts w:ascii="Arial" w:eastAsia="Arial" w:hAnsi="Arial" w:cs="Arial"/>
          <w:sz w:val="19"/>
        </w:rPr>
        <w:t xml:space="preserve"> </w:t>
      </w:r>
    </w:p>
    <w:p w14:paraId="7201F1AC" w14:textId="5AD1B288" w:rsidR="00236A91" w:rsidRDefault="00236A91">
      <w:pPr>
        <w:spacing w:after="5" w:line="268" w:lineRule="auto"/>
        <w:ind w:left="422" w:hanging="10"/>
      </w:pPr>
    </w:p>
    <w:p w14:paraId="4FA14A8B" w14:textId="3AC5CAD3" w:rsidR="00236A91" w:rsidRDefault="005A4C98">
      <w:pPr>
        <w:spacing w:after="17"/>
        <w:ind w:left="427"/>
        <w:rPr>
          <w:rFonts w:ascii="Arial" w:eastAsia="Arial" w:hAnsi="Arial" w:cs="Arial"/>
          <w:sz w:val="19"/>
        </w:rPr>
      </w:pPr>
      <w:r w:rsidRPr="005A4C98">
        <w:rPr>
          <w:rFonts w:ascii="Arial" w:eastAsia="Arial" w:hAnsi="Arial" w:cs="Arial"/>
          <w:sz w:val="19"/>
        </w:rPr>
        <w:t>The investment policy statement should be reviewed on a regular basis, probably annually. Also, it may need to be changed to reflect changes in regulation, taxation, and the financial environment.</w:t>
      </w:r>
    </w:p>
    <w:p w14:paraId="5102C4B0" w14:textId="77777777" w:rsidR="005A4C98" w:rsidRDefault="005A4C98">
      <w:pPr>
        <w:spacing w:after="17"/>
        <w:ind w:left="427"/>
      </w:pPr>
    </w:p>
    <w:p w14:paraId="79B5A875" w14:textId="77777777" w:rsidR="00236A91" w:rsidRDefault="00153021">
      <w:pPr>
        <w:spacing w:after="5" w:line="268" w:lineRule="auto"/>
        <w:ind w:left="422" w:hanging="10"/>
      </w:pPr>
      <w:r>
        <w:rPr>
          <w:rFonts w:ascii="Arial" w:eastAsia="Arial" w:hAnsi="Arial" w:cs="Arial"/>
          <w:sz w:val="19"/>
        </w:rPr>
        <w:t xml:space="preserve">Discussion of the review process is also relevant. </w:t>
      </w:r>
    </w:p>
    <w:p w14:paraId="490C9B45" w14:textId="77777777" w:rsidR="00236A91" w:rsidRDefault="00153021">
      <w:pPr>
        <w:spacing w:after="26"/>
        <w:ind w:left="427"/>
      </w:pPr>
      <w:r>
        <w:rPr>
          <w:rFonts w:ascii="Arial" w:eastAsia="Arial" w:hAnsi="Arial" w:cs="Arial"/>
          <w:sz w:val="19"/>
        </w:rPr>
        <w:t xml:space="preserve"> </w:t>
      </w:r>
    </w:p>
    <w:p w14:paraId="03AD8F32" w14:textId="77777777" w:rsidR="00236A91" w:rsidRDefault="00153021">
      <w:pPr>
        <w:spacing w:after="5" w:line="268" w:lineRule="auto"/>
        <w:ind w:left="422" w:right="51" w:hanging="10"/>
      </w:pPr>
      <w:r>
        <w:rPr>
          <w:rFonts w:ascii="Arial" w:eastAsia="Arial" w:hAnsi="Arial" w:cs="Arial"/>
          <w:sz w:val="20"/>
        </w:rPr>
        <w:t xml:space="preserve">(The relevant sections of the Study Manual are Part 3, Chapter 3.3 and 3.4) </w:t>
      </w:r>
    </w:p>
    <w:p w14:paraId="345B1E92" w14:textId="77777777" w:rsidR="00236A91" w:rsidRDefault="00153021">
      <w:pPr>
        <w:numPr>
          <w:ilvl w:val="2"/>
          <w:numId w:val="1"/>
        </w:numPr>
        <w:spacing w:after="18"/>
        <w:ind w:right="65" w:hanging="264"/>
        <w:jc w:val="right"/>
      </w:pPr>
      <w:r>
        <w:rPr>
          <w:rFonts w:ascii="Arial" w:eastAsia="Arial" w:hAnsi="Arial" w:cs="Arial"/>
          <w:b/>
          <w:sz w:val="19"/>
        </w:rPr>
        <w:t xml:space="preserve">marks </w:t>
      </w:r>
    </w:p>
    <w:p w14:paraId="26B0A3BA" w14:textId="77777777" w:rsidR="00236A91" w:rsidRDefault="00153021">
      <w:pPr>
        <w:spacing w:after="14"/>
      </w:pPr>
      <w:r>
        <w:rPr>
          <w:rFonts w:ascii="Arial" w:eastAsia="Arial" w:hAnsi="Arial" w:cs="Arial"/>
          <w:b/>
          <w:sz w:val="19"/>
        </w:rPr>
        <w:t xml:space="preserve"> </w:t>
      </w:r>
    </w:p>
    <w:p w14:paraId="6185E47E" w14:textId="77777777" w:rsidR="00236A91" w:rsidRDefault="00153021">
      <w:pPr>
        <w:spacing w:after="17"/>
        <w:ind w:left="5331"/>
        <w:jc w:val="center"/>
      </w:pPr>
      <w:r>
        <w:rPr>
          <w:rFonts w:ascii="Arial" w:eastAsia="Arial" w:hAnsi="Arial" w:cs="Arial"/>
          <w:b/>
          <w:sz w:val="19"/>
        </w:rPr>
        <w:t xml:space="preserve"> </w:t>
      </w:r>
    </w:p>
    <w:p w14:paraId="689BB261" w14:textId="77777777" w:rsidR="00236A91" w:rsidRDefault="00153021">
      <w:pPr>
        <w:numPr>
          <w:ilvl w:val="0"/>
          <w:numId w:val="1"/>
        </w:numPr>
        <w:spacing w:after="12" w:line="268" w:lineRule="auto"/>
        <w:ind w:hanging="434"/>
        <w:jc w:val="both"/>
      </w:pPr>
      <w:r>
        <w:rPr>
          <w:rFonts w:ascii="Arial" w:eastAsia="Arial" w:hAnsi="Arial" w:cs="Arial"/>
          <w:b/>
          <w:sz w:val="19"/>
        </w:rPr>
        <w:t>Describe the main types of trusts and how they can be created.</w:t>
      </w:r>
      <w:r>
        <w:rPr>
          <w:rFonts w:ascii="Arial" w:eastAsia="Arial" w:hAnsi="Arial" w:cs="Arial"/>
          <w:sz w:val="19"/>
        </w:rPr>
        <w:t xml:space="preserve">  </w:t>
      </w:r>
    </w:p>
    <w:p w14:paraId="38170FB3" w14:textId="77777777" w:rsidR="00236A91" w:rsidRDefault="00153021">
      <w:pPr>
        <w:spacing w:after="14"/>
      </w:pPr>
      <w:r>
        <w:rPr>
          <w:rFonts w:ascii="Arial" w:eastAsia="Arial" w:hAnsi="Arial" w:cs="Arial"/>
          <w:sz w:val="19"/>
        </w:rPr>
        <w:t xml:space="preserve"> </w:t>
      </w:r>
    </w:p>
    <w:p w14:paraId="67C22569" w14:textId="77777777" w:rsidR="00236A91" w:rsidRDefault="00153021">
      <w:pPr>
        <w:tabs>
          <w:tab w:val="center" w:pos="1046"/>
          <w:tab w:val="center" w:pos="1766"/>
          <w:tab w:val="center" w:pos="2486"/>
          <w:tab w:val="center" w:pos="3207"/>
          <w:tab w:val="center" w:pos="3927"/>
          <w:tab w:val="center" w:pos="4647"/>
          <w:tab w:val="center" w:pos="5367"/>
          <w:tab w:val="center" w:pos="6087"/>
          <w:tab w:val="center" w:pos="6807"/>
          <w:tab w:val="center" w:pos="7527"/>
          <w:tab w:val="right" w:pos="9124"/>
        </w:tabs>
        <w:spacing w:after="18"/>
      </w:pPr>
      <w:r>
        <w:tab/>
      </w:r>
      <w:r>
        <w:rPr>
          <w:rFonts w:ascii="Arial" w:eastAsia="Arial" w:hAnsi="Arial" w:cs="Arial"/>
          <w:sz w:val="19"/>
        </w:rPr>
        <w:t xml:space="preserve"> </w:t>
      </w:r>
      <w:r>
        <w:rPr>
          <w:rFonts w:ascii="Arial" w:eastAsia="Arial" w:hAnsi="Arial" w:cs="Arial"/>
          <w:sz w:val="19"/>
        </w:rPr>
        <w:tab/>
        <w:t xml:space="preserve"> </w:t>
      </w:r>
      <w:r>
        <w:rPr>
          <w:rFonts w:ascii="Arial" w:eastAsia="Arial" w:hAnsi="Arial" w:cs="Arial"/>
          <w:sz w:val="19"/>
        </w:rPr>
        <w:tab/>
        <w:t xml:space="preserve"> </w:t>
      </w:r>
      <w:r>
        <w:rPr>
          <w:rFonts w:ascii="Arial" w:eastAsia="Arial" w:hAnsi="Arial" w:cs="Arial"/>
          <w:sz w:val="19"/>
        </w:rPr>
        <w:tab/>
        <w:t xml:space="preserve"> </w:t>
      </w:r>
      <w:r>
        <w:rPr>
          <w:rFonts w:ascii="Arial" w:eastAsia="Arial" w:hAnsi="Arial" w:cs="Arial"/>
          <w:sz w:val="19"/>
        </w:rPr>
        <w:tab/>
        <w:t xml:space="preserve"> </w:t>
      </w:r>
      <w:r>
        <w:rPr>
          <w:rFonts w:ascii="Arial" w:eastAsia="Arial" w:hAnsi="Arial" w:cs="Arial"/>
          <w:sz w:val="19"/>
        </w:rPr>
        <w:tab/>
        <w:t xml:space="preserve"> </w:t>
      </w:r>
      <w:r>
        <w:rPr>
          <w:rFonts w:ascii="Arial" w:eastAsia="Arial" w:hAnsi="Arial" w:cs="Arial"/>
          <w:sz w:val="19"/>
        </w:rPr>
        <w:tab/>
        <w:t xml:space="preserve"> </w:t>
      </w:r>
      <w:r>
        <w:rPr>
          <w:rFonts w:ascii="Arial" w:eastAsia="Arial" w:hAnsi="Arial" w:cs="Arial"/>
          <w:sz w:val="19"/>
        </w:rPr>
        <w:tab/>
        <w:t xml:space="preserve"> </w:t>
      </w:r>
      <w:r>
        <w:rPr>
          <w:rFonts w:ascii="Arial" w:eastAsia="Arial" w:hAnsi="Arial" w:cs="Arial"/>
          <w:sz w:val="19"/>
        </w:rPr>
        <w:tab/>
        <w:t xml:space="preserve"> </w:t>
      </w:r>
      <w:r>
        <w:rPr>
          <w:rFonts w:ascii="Arial" w:eastAsia="Arial" w:hAnsi="Arial" w:cs="Arial"/>
          <w:sz w:val="19"/>
        </w:rPr>
        <w:tab/>
        <w:t xml:space="preserve"> </w:t>
      </w:r>
      <w:r>
        <w:rPr>
          <w:rFonts w:ascii="Arial" w:eastAsia="Arial" w:hAnsi="Arial" w:cs="Arial"/>
          <w:sz w:val="19"/>
        </w:rPr>
        <w:tab/>
      </w:r>
      <w:r>
        <w:rPr>
          <w:rFonts w:ascii="Arial" w:eastAsia="Arial" w:hAnsi="Arial" w:cs="Arial"/>
          <w:b/>
          <w:sz w:val="19"/>
        </w:rPr>
        <w:t xml:space="preserve">10 marks </w:t>
      </w:r>
    </w:p>
    <w:p w14:paraId="1E220FC1" w14:textId="77777777" w:rsidR="00236A91" w:rsidRDefault="00153021">
      <w:pPr>
        <w:spacing w:after="17"/>
      </w:pPr>
      <w:r>
        <w:rPr>
          <w:rFonts w:ascii="Arial" w:eastAsia="Arial" w:hAnsi="Arial" w:cs="Arial"/>
          <w:b/>
          <w:sz w:val="19"/>
        </w:rPr>
        <w:t xml:space="preserve"> </w:t>
      </w:r>
    </w:p>
    <w:p w14:paraId="1BC31417" w14:textId="77777777" w:rsidR="00236A91" w:rsidRDefault="00153021">
      <w:pPr>
        <w:spacing w:after="5" w:line="268" w:lineRule="auto"/>
        <w:ind w:left="422" w:hanging="10"/>
      </w:pPr>
      <w:r>
        <w:rPr>
          <w:rFonts w:ascii="Arial" w:eastAsia="Arial" w:hAnsi="Arial" w:cs="Arial"/>
          <w:sz w:val="19"/>
        </w:rPr>
        <w:t xml:space="preserve">Answers should cover: </w:t>
      </w:r>
    </w:p>
    <w:p w14:paraId="25E679F1" w14:textId="77777777" w:rsidR="00236A91" w:rsidRDefault="00153021">
      <w:pPr>
        <w:numPr>
          <w:ilvl w:val="1"/>
          <w:numId w:val="2"/>
        </w:numPr>
        <w:spacing w:after="5" w:line="268" w:lineRule="auto"/>
        <w:ind w:hanging="425"/>
      </w:pPr>
      <w:r>
        <w:rPr>
          <w:rFonts w:ascii="Arial" w:eastAsia="Arial" w:hAnsi="Arial" w:cs="Arial"/>
          <w:sz w:val="19"/>
        </w:rPr>
        <w:t xml:space="preserve">Bare trusts </w:t>
      </w:r>
    </w:p>
    <w:p w14:paraId="15E0E640" w14:textId="77777777" w:rsidR="00236A91" w:rsidRDefault="00153021">
      <w:pPr>
        <w:numPr>
          <w:ilvl w:val="1"/>
          <w:numId w:val="2"/>
        </w:numPr>
        <w:spacing w:after="5" w:line="268" w:lineRule="auto"/>
        <w:ind w:hanging="425"/>
      </w:pPr>
      <w:r>
        <w:rPr>
          <w:rFonts w:ascii="Arial" w:eastAsia="Arial" w:hAnsi="Arial" w:cs="Arial"/>
          <w:sz w:val="19"/>
        </w:rPr>
        <w:t xml:space="preserve">Interest in possession trusts </w:t>
      </w:r>
    </w:p>
    <w:p w14:paraId="6FEDD49A" w14:textId="77777777" w:rsidR="00236A91" w:rsidRDefault="00153021">
      <w:pPr>
        <w:numPr>
          <w:ilvl w:val="1"/>
          <w:numId w:val="2"/>
        </w:numPr>
        <w:spacing w:after="5" w:line="268" w:lineRule="auto"/>
        <w:ind w:hanging="425"/>
      </w:pPr>
      <w:r>
        <w:rPr>
          <w:rFonts w:ascii="Arial" w:eastAsia="Arial" w:hAnsi="Arial" w:cs="Arial"/>
          <w:sz w:val="19"/>
        </w:rPr>
        <w:t xml:space="preserve">Discretionary trusts </w:t>
      </w:r>
    </w:p>
    <w:p w14:paraId="1202105C" w14:textId="77777777" w:rsidR="00236A91" w:rsidRDefault="00153021">
      <w:pPr>
        <w:numPr>
          <w:ilvl w:val="1"/>
          <w:numId w:val="2"/>
        </w:numPr>
        <w:spacing w:after="5" w:line="268" w:lineRule="auto"/>
        <w:ind w:hanging="425"/>
      </w:pPr>
      <w:r>
        <w:rPr>
          <w:rFonts w:ascii="Arial" w:eastAsia="Arial" w:hAnsi="Arial" w:cs="Arial"/>
          <w:sz w:val="19"/>
        </w:rPr>
        <w:t xml:space="preserve">Accumulation trusts </w:t>
      </w:r>
    </w:p>
    <w:p w14:paraId="743A4900" w14:textId="77777777" w:rsidR="00236A91" w:rsidRDefault="00153021">
      <w:pPr>
        <w:numPr>
          <w:ilvl w:val="1"/>
          <w:numId w:val="2"/>
        </w:numPr>
        <w:spacing w:after="5" w:line="268" w:lineRule="auto"/>
        <w:ind w:hanging="425"/>
      </w:pPr>
      <w:r>
        <w:rPr>
          <w:rFonts w:ascii="Arial" w:eastAsia="Arial" w:hAnsi="Arial" w:cs="Arial"/>
          <w:sz w:val="19"/>
        </w:rPr>
        <w:t xml:space="preserve">Settler interest trusts </w:t>
      </w:r>
    </w:p>
    <w:p w14:paraId="7B0F6BF3" w14:textId="77777777" w:rsidR="00236A91" w:rsidRDefault="00153021">
      <w:pPr>
        <w:numPr>
          <w:ilvl w:val="1"/>
          <w:numId w:val="2"/>
        </w:numPr>
        <w:spacing w:after="5" w:line="268" w:lineRule="auto"/>
        <w:ind w:hanging="425"/>
      </w:pPr>
      <w:r>
        <w:rPr>
          <w:rFonts w:ascii="Arial" w:eastAsia="Arial" w:hAnsi="Arial" w:cs="Arial"/>
          <w:sz w:val="19"/>
        </w:rPr>
        <w:t xml:space="preserve">Employee benefit trusts </w:t>
      </w:r>
    </w:p>
    <w:p w14:paraId="19AD394C" w14:textId="77777777" w:rsidR="00236A91" w:rsidRDefault="00153021">
      <w:pPr>
        <w:spacing w:after="14"/>
        <w:ind w:left="427"/>
      </w:pPr>
      <w:r>
        <w:rPr>
          <w:rFonts w:ascii="Arial" w:eastAsia="Arial" w:hAnsi="Arial" w:cs="Arial"/>
          <w:sz w:val="19"/>
        </w:rPr>
        <w:t xml:space="preserve"> </w:t>
      </w:r>
    </w:p>
    <w:p w14:paraId="257BE15E" w14:textId="77777777" w:rsidR="00236A91" w:rsidRDefault="00153021">
      <w:pPr>
        <w:spacing w:after="5" w:line="268" w:lineRule="auto"/>
        <w:ind w:left="422" w:hanging="10"/>
      </w:pPr>
      <w:r>
        <w:rPr>
          <w:rFonts w:ascii="Arial" w:eastAsia="Arial" w:hAnsi="Arial" w:cs="Arial"/>
          <w:sz w:val="19"/>
        </w:rPr>
        <w:t xml:space="preserve">In addition, answers should cover the 3 certainties when discussing the creation of trusts.  As only 10 marks are available for the whole question only brief detail is required for each element. </w:t>
      </w:r>
    </w:p>
    <w:p w14:paraId="1C8194F0" w14:textId="77777777" w:rsidR="00236A91" w:rsidRDefault="00153021">
      <w:pPr>
        <w:spacing w:after="24"/>
        <w:ind w:left="427"/>
      </w:pPr>
      <w:r>
        <w:rPr>
          <w:rFonts w:ascii="Arial" w:eastAsia="Arial" w:hAnsi="Arial" w:cs="Arial"/>
          <w:sz w:val="19"/>
        </w:rPr>
        <w:t xml:space="preserve"> </w:t>
      </w:r>
    </w:p>
    <w:p w14:paraId="323B8119" w14:textId="77777777" w:rsidR="00236A91" w:rsidRDefault="00153021">
      <w:pPr>
        <w:spacing w:after="5" w:line="268" w:lineRule="auto"/>
        <w:ind w:left="422" w:right="51" w:hanging="10"/>
      </w:pPr>
      <w:r>
        <w:rPr>
          <w:rFonts w:ascii="Arial" w:eastAsia="Arial" w:hAnsi="Arial" w:cs="Arial"/>
          <w:sz w:val="20"/>
        </w:rPr>
        <w:t xml:space="preserve">(The relevant sections of the Study Manual are Part 4, Chapter 6.2 and 6.5) </w:t>
      </w:r>
    </w:p>
    <w:p w14:paraId="2FD4619E" w14:textId="77777777" w:rsidR="00236A91" w:rsidRDefault="00153021">
      <w:pPr>
        <w:tabs>
          <w:tab w:val="center" w:pos="1046"/>
          <w:tab w:val="center" w:pos="1766"/>
          <w:tab w:val="center" w:pos="2486"/>
          <w:tab w:val="center" w:pos="3207"/>
          <w:tab w:val="center" w:pos="3927"/>
          <w:tab w:val="center" w:pos="4647"/>
          <w:tab w:val="center" w:pos="5367"/>
          <w:tab w:val="center" w:pos="6087"/>
          <w:tab w:val="center" w:pos="6807"/>
          <w:tab w:val="center" w:pos="7527"/>
          <w:tab w:val="right" w:pos="9124"/>
        </w:tabs>
        <w:spacing w:after="18"/>
      </w:pPr>
      <w:r>
        <w:tab/>
      </w:r>
      <w:r>
        <w:rPr>
          <w:rFonts w:ascii="Arial" w:eastAsia="Arial" w:hAnsi="Arial" w:cs="Arial"/>
          <w:sz w:val="19"/>
        </w:rPr>
        <w:t xml:space="preserve"> </w:t>
      </w:r>
      <w:r>
        <w:rPr>
          <w:rFonts w:ascii="Arial" w:eastAsia="Arial" w:hAnsi="Arial" w:cs="Arial"/>
          <w:sz w:val="19"/>
        </w:rPr>
        <w:tab/>
        <w:t xml:space="preserve"> </w:t>
      </w:r>
      <w:r>
        <w:rPr>
          <w:rFonts w:ascii="Arial" w:eastAsia="Arial" w:hAnsi="Arial" w:cs="Arial"/>
          <w:sz w:val="19"/>
        </w:rPr>
        <w:tab/>
        <w:t xml:space="preserve"> </w:t>
      </w:r>
      <w:r>
        <w:rPr>
          <w:rFonts w:ascii="Arial" w:eastAsia="Arial" w:hAnsi="Arial" w:cs="Arial"/>
          <w:sz w:val="19"/>
        </w:rPr>
        <w:tab/>
        <w:t xml:space="preserve"> </w:t>
      </w:r>
      <w:r>
        <w:rPr>
          <w:rFonts w:ascii="Arial" w:eastAsia="Arial" w:hAnsi="Arial" w:cs="Arial"/>
          <w:sz w:val="19"/>
        </w:rPr>
        <w:tab/>
        <w:t xml:space="preserve"> </w:t>
      </w:r>
      <w:r>
        <w:rPr>
          <w:rFonts w:ascii="Arial" w:eastAsia="Arial" w:hAnsi="Arial" w:cs="Arial"/>
          <w:sz w:val="19"/>
        </w:rPr>
        <w:tab/>
        <w:t xml:space="preserve"> </w:t>
      </w:r>
      <w:r>
        <w:rPr>
          <w:rFonts w:ascii="Arial" w:eastAsia="Arial" w:hAnsi="Arial" w:cs="Arial"/>
          <w:sz w:val="19"/>
        </w:rPr>
        <w:tab/>
        <w:t xml:space="preserve"> </w:t>
      </w:r>
      <w:r>
        <w:rPr>
          <w:rFonts w:ascii="Arial" w:eastAsia="Arial" w:hAnsi="Arial" w:cs="Arial"/>
          <w:sz w:val="19"/>
        </w:rPr>
        <w:tab/>
        <w:t xml:space="preserve"> </w:t>
      </w:r>
      <w:r>
        <w:rPr>
          <w:rFonts w:ascii="Arial" w:eastAsia="Arial" w:hAnsi="Arial" w:cs="Arial"/>
          <w:sz w:val="19"/>
        </w:rPr>
        <w:tab/>
        <w:t xml:space="preserve"> </w:t>
      </w:r>
      <w:r>
        <w:rPr>
          <w:rFonts w:ascii="Arial" w:eastAsia="Arial" w:hAnsi="Arial" w:cs="Arial"/>
          <w:sz w:val="19"/>
        </w:rPr>
        <w:tab/>
        <w:t xml:space="preserve"> </w:t>
      </w:r>
      <w:r>
        <w:rPr>
          <w:rFonts w:ascii="Arial" w:eastAsia="Arial" w:hAnsi="Arial" w:cs="Arial"/>
          <w:sz w:val="19"/>
        </w:rPr>
        <w:tab/>
      </w:r>
      <w:r>
        <w:rPr>
          <w:rFonts w:ascii="Arial" w:eastAsia="Arial" w:hAnsi="Arial" w:cs="Arial"/>
          <w:b/>
          <w:sz w:val="19"/>
        </w:rPr>
        <w:t xml:space="preserve">10 marks </w:t>
      </w:r>
    </w:p>
    <w:p w14:paraId="01B1B375" w14:textId="77777777" w:rsidR="00236A91" w:rsidRDefault="00153021">
      <w:pPr>
        <w:spacing w:after="14"/>
      </w:pPr>
      <w:r>
        <w:rPr>
          <w:rFonts w:ascii="Arial" w:eastAsia="Arial" w:hAnsi="Arial" w:cs="Arial"/>
          <w:b/>
          <w:sz w:val="19"/>
        </w:rPr>
        <w:t xml:space="preserve"> </w:t>
      </w:r>
    </w:p>
    <w:p w14:paraId="193E46CE" w14:textId="77777777" w:rsidR="00236A91" w:rsidRDefault="00153021">
      <w:pPr>
        <w:spacing w:after="17"/>
      </w:pPr>
      <w:r>
        <w:rPr>
          <w:rFonts w:ascii="Arial" w:eastAsia="Arial" w:hAnsi="Arial" w:cs="Arial"/>
          <w:b/>
          <w:sz w:val="19"/>
        </w:rPr>
        <w:t xml:space="preserve"> </w:t>
      </w:r>
    </w:p>
    <w:p w14:paraId="052F0244" w14:textId="77777777" w:rsidR="00236A91" w:rsidRDefault="00153021">
      <w:pPr>
        <w:numPr>
          <w:ilvl w:val="0"/>
          <w:numId w:val="1"/>
        </w:numPr>
        <w:spacing w:after="12" w:line="268" w:lineRule="auto"/>
        <w:ind w:hanging="434"/>
        <w:jc w:val="both"/>
      </w:pPr>
      <w:r>
        <w:rPr>
          <w:rFonts w:ascii="Arial" w:eastAsia="Arial" w:hAnsi="Arial" w:cs="Arial"/>
          <w:b/>
          <w:sz w:val="19"/>
        </w:rPr>
        <w:t xml:space="preserve">Outline the differences between Enduring and Lasting Power of Attorney.  </w:t>
      </w:r>
      <w:r>
        <w:rPr>
          <w:rFonts w:ascii="Arial" w:eastAsia="Arial" w:hAnsi="Arial" w:cs="Arial"/>
          <w:b/>
          <w:sz w:val="19"/>
        </w:rPr>
        <w:tab/>
        <w:t xml:space="preserve"> </w:t>
      </w:r>
    </w:p>
    <w:p w14:paraId="7776A25F" w14:textId="77777777" w:rsidR="00236A91" w:rsidRDefault="00153021">
      <w:pPr>
        <w:spacing w:after="17"/>
        <w:ind w:left="434"/>
      </w:pPr>
      <w:r>
        <w:rPr>
          <w:rFonts w:ascii="Arial" w:eastAsia="Arial" w:hAnsi="Arial" w:cs="Arial"/>
          <w:b/>
          <w:sz w:val="19"/>
        </w:rPr>
        <w:t xml:space="preserve">  </w:t>
      </w:r>
    </w:p>
    <w:p w14:paraId="1D401525" w14:textId="77777777" w:rsidR="00236A91" w:rsidRDefault="00153021">
      <w:pPr>
        <w:spacing w:after="15"/>
      </w:pPr>
      <w:r>
        <w:rPr>
          <w:rFonts w:ascii="Arial" w:eastAsia="Arial" w:hAnsi="Arial" w:cs="Arial"/>
          <w:b/>
          <w:sz w:val="19"/>
        </w:rPr>
        <w:t xml:space="preserve"> </w:t>
      </w:r>
    </w:p>
    <w:p w14:paraId="3E77DF05" w14:textId="77777777" w:rsidR="00236A91" w:rsidRDefault="00153021">
      <w:pPr>
        <w:tabs>
          <w:tab w:val="center" w:pos="1020"/>
          <w:tab w:val="center" w:pos="1500"/>
          <w:tab w:val="center" w:pos="5341"/>
          <w:tab w:val="center" w:pos="6872"/>
          <w:tab w:val="center" w:pos="7501"/>
          <w:tab w:val="right" w:pos="9124"/>
        </w:tabs>
        <w:spacing w:after="54"/>
      </w:pPr>
      <w:r>
        <w:tab/>
      </w:r>
      <w:r>
        <w:rPr>
          <w:rFonts w:ascii="Arial" w:eastAsia="Arial" w:hAnsi="Arial" w:cs="Arial"/>
          <w:b/>
          <w:sz w:val="19"/>
        </w:rPr>
        <w:t xml:space="preserve"> </w:t>
      </w:r>
      <w:r>
        <w:rPr>
          <w:rFonts w:ascii="Arial" w:eastAsia="Arial" w:hAnsi="Arial" w:cs="Arial"/>
          <w:b/>
          <w:sz w:val="19"/>
        </w:rPr>
        <w:tab/>
        <w:t xml:space="preserve"> </w:t>
      </w:r>
      <w:r>
        <w:rPr>
          <w:rFonts w:ascii="Arial" w:eastAsia="Arial" w:hAnsi="Arial" w:cs="Arial"/>
          <w:b/>
          <w:sz w:val="19"/>
        </w:rPr>
        <w:tab/>
        <w:t xml:space="preserve"> </w:t>
      </w:r>
      <w:r>
        <w:rPr>
          <w:rFonts w:ascii="Arial" w:eastAsia="Arial" w:hAnsi="Arial" w:cs="Arial"/>
          <w:b/>
          <w:sz w:val="19"/>
        </w:rPr>
        <w:tab/>
        <w:t xml:space="preserve"> </w:t>
      </w:r>
      <w:r>
        <w:rPr>
          <w:rFonts w:ascii="Arial" w:eastAsia="Arial" w:hAnsi="Arial" w:cs="Arial"/>
          <w:b/>
          <w:sz w:val="19"/>
        </w:rPr>
        <w:tab/>
        <w:t xml:space="preserve"> </w:t>
      </w:r>
      <w:r>
        <w:rPr>
          <w:rFonts w:ascii="Arial" w:eastAsia="Arial" w:hAnsi="Arial" w:cs="Arial"/>
          <w:b/>
          <w:sz w:val="19"/>
        </w:rPr>
        <w:tab/>
        <w:t xml:space="preserve">15 marks </w:t>
      </w:r>
    </w:p>
    <w:p w14:paraId="59B35E3E" w14:textId="0C0251C7" w:rsidR="00CD045E" w:rsidRDefault="00153021" w:rsidP="00CD045E">
      <w:pPr>
        <w:spacing w:after="0"/>
      </w:pPr>
      <w:r>
        <w:t xml:space="preserve"> </w:t>
      </w:r>
    </w:p>
    <w:p w14:paraId="03DEA32C" w14:textId="2F04D91F" w:rsidR="00CD045E" w:rsidRDefault="00CD045E" w:rsidP="00CD045E">
      <w:pPr>
        <w:spacing w:after="5" w:line="268" w:lineRule="auto"/>
        <w:ind w:right="25"/>
      </w:pPr>
    </w:p>
    <w:p w14:paraId="21829F3E" w14:textId="77777777" w:rsidR="00CD045E" w:rsidRDefault="00CD045E" w:rsidP="00CD045E">
      <w:pPr>
        <w:spacing w:after="5" w:line="268" w:lineRule="auto"/>
        <w:ind w:right="25"/>
      </w:pPr>
      <w:r w:rsidRPr="00CD045E">
        <w:t xml:space="preserve">The Enduring Powers of Attorney Act 1985 was introduced to allow for an individual holding a Power of Attorney to continue to act for the Donor in the event of his mental incapacity. An enduring power can only authorise Attorneys to make decisions about the Donor’s property and financial affairs. While the Donor has full mental capacity, an enduring power usually confers the same powers as a general Power of Attorney. In this case the enduring power does not have to be registered before it can be used, unless there is an express condition requiring registration. The enduring power must be registered with the Office of the Public Guardian (OPG) as soon as the Donor starts to lose capacity. This registration may be cancelled on the Donor’s recovery. </w:t>
      </w:r>
    </w:p>
    <w:p w14:paraId="19F9FD46" w14:textId="77777777" w:rsidR="00CD045E" w:rsidRDefault="00CD045E" w:rsidP="00CD045E">
      <w:pPr>
        <w:spacing w:after="5" w:line="268" w:lineRule="auto"/>
        <w:ind w:right="25"/>
      </w:pPr>
    </w:p>
    <w:p w14:paraId="388883DE" w14:textId="77777777" w:rsidR="005C411B" w:rsidRDefault="00CD045E" w:rsidP="00CD045E">
      <w:pPr>
        <w:spacing w:after="5" w:line="268" w:lineRule="auto"/>
        <w:ind w:right="25"/>
      </w:pPr>
      <w:r w:rsidRPr="00CD045E">
        <w:t xml:space="preserve">An Enduring Power of Attorney must meet the following requirements: </w:t>
      </w:r>
    </w:p>
    <w:p w14:paraId="3A5763CF" w14:textId="77777777" w:rsidR="005C411B" w:rsidRDefault="00CD045E" w:rsidP="00CD045E">
      <w:pPr>
        <w:spacing w:after="5" w:line="268" w:lineRule="auto"/>
        <w:ind w:right="25"/>
      </w:pPr>
      <w:r w:rsidRPr="00CD045E">
        <w:t xml:space="preserve">• established before 1 October 2007 (it does not need to have been registered) </w:t>
      </w:r>
    </w:p>
    <w:p w14:paraId="2CFFCCFA" w14:textId="77777777" w:rsidR="005C411B" w:rsidRDefault="00CD045E" w:rsidP="00CD045E">
      <w:pPr>
        <w:spacing w:after="5" w:line="268" w:lineRule="auto"/>
        <w:ind w:right="25"/>
      </w:pPr>
      <w:r w:rsidRPr="00CD045E">
        <w:t xml:space="preserve">• the Donor and Attorney had mental capacity </w:t>
      </w:r>
    </w:p>
    <w:p w14:paraId="5710DD72" w14:textId="77777777" w:rsidR="005C411B" w:rsidRDefault="00CD045E" w:rsidP="00CD045E">
      <w:pPr>
        <w:spacing w:after="5" w:line="268" w:lineRule="auto"/>
        <w:ind w:right="25"/>
      </w:pPr>
      <w:r w:rsidRPr="00CD045E">
        <w:t xml:space="preserve">• the Donor and Attorney were over age 18 and not bankrupt </w:t>
      </w:r>
    </w:p>
    <w:p w14:paraId="18BFE853" w14:textId="77777777" w:rsidR="005C411B" w:rsidRDefault="00CD045E" w:rsidP="00CD045E">
      <w:pPr>
        <w:spacing w:after="5" w:line="268" w:lineRule="auto"/>
        <w:ind w:right="25"/>
      </w:pPr>
      <w:r w:rsidRPr="00CD045E">
        <w:t xml:space="preserve">• satisfies the conditions of the Enduring Powers of Attorney Act 1985 </w:t>
      </w:r>
    </w:p>
    <w:p w14:paraId="67CA60E6" w14:textId="77777777" w:rsidR="005C411B" w:rsidRDefault="00CD045E" w:rsidP="00CD045E">
      <w:pPr>
        <w:spacing w:after="5" w:line="268" w:lineRule="auto"/>
        <w:ind w:right="25"/>
      </w:pPr>
      <w:r w:rsidRPr="00CD045E">
        <w:t>• the Attorney registers the enduring power with the OPG as soon as the Donor starts to lose capacity.</w:t>
      </w:r>
      <w:r w:rsidR="005C411B" w:rsidRPr="005C411B">
        <w:t xml:space="preserve"> </w:t>
      </w:r>
    </w:p>
    <w:p w14:paraId="094593CA" w14:textId="77777777" w:rsidR="005C411B" w:rsidRDefault="005C411B" w:rsidP="00CD045E">
      <w:pPr>
        <w:spacing w:after="5" w:line="268" w:lineRule="auto"/>
        <w:ind w:right="25"/>
      </w:pPr>
    </w:p>
    <w:p w14:paraId="133E3184" w14:textId="59F43943" w:rsidR="00CD045E" w:rsidRDefault="005C411B" w:rsidP="00CD045E">
      <w:pPr>
        <w:spacing w:after="5" w:line="268" w:lineRule="auto"/>
        <w:ind w:right="25"/>
      </w:pPr>
      <w:r w:rsidRPr="005C411B">
        <w:t>An enduring power can be revoked by the individual at any time, except that if it has been registered it can only be revoked with the consent of the Court of Protection. It is automatically revoked if the Donor or the appointed Attorney becomes bankrupt or dies</w:t>
      </w:r>
    </w:p>
    <w:p w14:paraId="5CDFD920" w14:textId="77777777" w:rsidR="00CD045E" w:rsidRDefault="00CD045E" w:rsidP="00CD045E">
      <w:pPr>
        <w:spacing w:after="5" w:line="268" w:lineRule="auto"/>
        <w:ind w:right="25"/>
      </w:pPr>
    </w:p>
    <w:p w14:paraId="487736D1" w14:textId="77777777" w:rsidR="00CD045E" w:rsidRDefault="00CD045E" w:rsidP="00CD045E">
      <w:pPr>
        <w:spacing w:after="5" w:line="268" w:lineRule="auto"/>
        <w:ind w:right="25"/>
      </w:pPr>
      <w:r w:rsidRPr="00CD045E">
        <w:t xml:space="preserve"> The Mental Capacity Act 2005 introduced a new format: the Lasting Power of Attorney. There are two different types of Lasting Power of Attorney: </w:t>
      </w:r>
    </w:p>
    <w:p w14:paraId="3C84E510" w14:textId="77777777" w:rsidR="00CD045E" w:rsidRDefault="00CD045E" w:rsidP="00CD045E">
      <w:pPr>
        <w:spacing w:after="5" w:line="268" w:lineRule="auto"/>
        <w:ind w:right="25"/>
      </w:pPr>
      <w:r w:rsidRPr="00CD045E">
        <w:t xml:space="preserve">• Health and Welfare Lasting Power of Attorney (sometimes called a Personal Welfare Lasting Power of Attorney) </w:t>
      </w:r>
    </w:p>
    <w:p w14:paraId="333A97C2" w14:textId="77777777" w:rsidR="00CD045E" w:rsidRDefault="00CD045E" w:rsidP="00CD045E">
      <w:pPr>
        <w:spacing w:after="5" w:line="268" w:lineRule="auto"/>
        <w:ind w:right="25"/>
      </w:pPr>
      <w:r w:rsidRPr="00CD045E">
        <w:t>• Property and Financial Affairs Lasting Power of Attorney.</w:t>
      </w:r>
    </w:p>
    <w:p w14:paraId="542AF35E" w14:textId="77777777" w:rsidR="00CD045E" w:rsidRDefault="00CD045E" w:rsidP="00CD045E">
      <w:pPr>
        <w:spacing w:after="5" w:line="268" w:lineRule="auto"/>
        <w:ind w:right="25"/>
      </w:pPr>
    </w:p>
    <w:p w14:paraId="680A3E85" w14:textId="75FFB74E" w:rsidR="00CD045E" w:rsidRDefault="00CD045E" w:rsidP="00CD045E">
      <w:pPr>
        <w:spacing w:after="5" w:line="268" w:lineRule="auto"/>
        <w:ind w:right="25"/>
      </w:pPr>
      <w:r w:rsidRPr="00CD045E">
        <w:t xml:space="preserve"> The Donor must be over 18 with mental capacity and the Attorney must be over 18 with mental capacity and not be bankrupt. If the Donor is or becomes bankrupt, the bankruptcy order would restrict the Donor’s/Attorney’s powers re dealings on property</w:t>
      </w:r>
      <w:r>
        <w:t xml:space="preserve">. </w:t>
      </w:r>
    </w:p>
    <w:p w14:paraId="6E282E9C" w14:textId="77777777" w:rsidR="00CD045E" w:rsidRDefault="00CD045E" w:rsidP="00CD045E">
      <w:pPr>
        <w:spacing w:after="5" w:line="268" w:lineRule="auto"/>
        <w:ind w:right="25"/>
      </w:pPr>
    </w:p>
    <w:p w14:paraId="52C093D1" w14:textId="77777777" w:rsidR="00CD045E" w:rsidRDefault="00CD045E" w:rsidP="00CD045E">
      <w:pPr>
        <w:spacing w:after="5" w:line="268" w:lineRule="auto"/>
        <w:ind w:right="25"/>
      </w:pPr>
      <w:r w:rsidRPr="00CD045E">
        <w:t xml:space="preserve">A Lasting Power of Attorney automatically ends if: </w:t>
      </w:r>
    </w:p>
    <w:p w14:paraId="5CED4861" w14:textId="77777777" w:rsidR="00CD045E" w:rsidRDefault="00CD045E" w:rsidP="00CD045E">
      <w:pPr>
        <w:spacing w:after="5" w:line="268" w:lineRule="auto"/>
        <w:ind w:right="25"/>
      </w:pPr>
      <w:r w:rsidRPr="00CD045E">
        <w:t xml:space="preserve">• the Donor or the Attorney dies </w:t>
      </w:r>
    </w:p>
    <w:p w14:paraId="64C5066C" w14:textId="77777777" w:rsidR="00CD045E" w:rsidRDefault="00CD045E" w:rsidP="00CD045E">
      <w:pPr>
        <w:spacing w:after="5" w:line="268" w:lineRule="auto"/>
        <w:ind w:right="25"/>
      </w:pPr>
      <w:r w:rsidRPr="00CD045E">
        <w:t xml:space="preserve">• the Donor or the Attorney becomes bankrupt) </w:t>
      </w:r>
    </w:p>
    <w:p w14:paraId="0BFA2B5D" w14:textId="77777777" w:rsidR="00CD045E" w:rsidRDefault="00CD045E" w:rsidP="00CD045E">
      <w:pPr>
        <w:spacing w:after="5" w:line="268" w:lineRule="auto"/>
        <w:ind w:right="25"/>
      </w:pPr>
      <w:r w:rsidRPr="00CD045E">
        <w:t xml:space="preserve">• a marriage or civil partnership between the Donor and the Attorney is dissolved or annulled </w:t>
      </w:r>
    </w:p>
    <w:p w14:paraId="54FA2414" w14:textId="1B46F38D" w:rsidR="00CD045E" w:rsidRDefault="00CD045E" w:rsidP="00CD045E">
      <w:pPr>
        <w:spacing w:after="5" w:line="268" w:lineRule="auto"/>
        <w:ind w:right="25"/>
      </w:pPr>
      <w:r w:rsidRPr="00CD045E">
        <w:t xml:space="preserve">• the Attorney lacks the mental capacity to make decisions </w:t>
      </w:r>
    </w:p>
    <w:p w14:paraId="5836A6C7" w14:textId="75944A7A" w:rsidR="00CD045E" w:rsidRDefault="00CD045E" w:rsidP="00CD045E">
      <w:pPr>
        <w:spacing w:after="5" w:line="268" w:lineRule="auto"/>
        <w:ind w:right="25"/>
      </w:pPr>
      <w:r w:rsidRPr="00CD045E">
        <w:t>• the power is “disclaimed” (or rejected) by the Attorney</w:t>
      </w:r>
    </w:p>
    <w:p w14:paraId="43EA0386" w14:textId="03960DEA" w:rsidR="00CD045E" w:rsidRDefault="00CD045E" w:rsidP="00CD045E">
      <w:pPr>
        <w:spacing w:after="5" w:line="268" w:lineRule="auto"/>
        <w:ind w:right="25"/>
      </w:pPr>
    </w:p>
    <w:p w14:paraId="2EA08281" w14:textId="5EBB670D" w:rsidR="00CD045E" w:rsidRDefault="00CD045E" w:rsidP="00CD045E">
      <w:pPr>
        <w:spacing w:after="5" w:line="268" w:lineRule="auto"/>
        <w:ind w:right="25"/>
      </w:pPr>
    </w:p>
    <w:p w14:paraId="566D55E8" w14:textId="3B858C9C" w:rsidR="00CD045E" w:rsidRDefault="00CD045E" w:rsidP="00CD045E">
      <w:pPr>
        <w:spacing w:after="5" w:line="268" w:lineRule="auto"/>
        <w:ind w:right="25"/>
      </w:pPr>
    </w:p>
    <w:p w14:paraId="0D7002A9" w14:textId="77777777" w:rsidR="00CD045E" w:rsidRDefault="00CD045E" w:rsidP="00CD045E">
      <w:pPr>
        <w:spacing w:after="5" w:line="268" w:lineRule="auto"/>
        <w:ind w:right="25"/>
      </w:pPr>
    </w:p>
    <w:p w14:paraId="209170C2" w14:textId="77777777" w:rsidR="00236A91" w:rsidRDefault="00153021">
      <w:pPr>
        <w:spacing w:after="17"/>
      </w:pPr>
      <w:r>
        <w:rPr>
          <w:rFonts w:ascii="Arial" w:eastAsia="Arial" w:hAnsi="Arial" w:cs="Arial"/>
          <w:sz w:val="20"/>
        </w:rPr>
        <w:t xml:space="preserve"> </w:t>
      </w:r>
    </w:p>
    <w:p w14:paraId="069F9221" w14:textId="77777777" w:rsidR="00236A91" w:rsidRDefault="00153021">
      <w:pPr>
        <w:spacing w:after="5" w:line="268" w:lineRule="auto"/>
        <w:ind w:left="422" w:right="51" w:hanging="10"/>
      </w:pPr>
      <w:r>
        <w:rPr>
          <w:rFonts w:ascii="Arial" w:eastAsia="Arial" w:hAnsi="Arial" w:cs="Arial"/>
          <w:sz w:val="20"/>
        </w:rPr>
        <w:t xml:space="preserve">(The relevant sections of the Study Manual are Part 4, Chapter 1.6.1 and 1.6.2) </w:t>
      </w:r>
    </w:p>
    <w:p w14:paraId="32B5B2B0" w14:textId="77777777" w:rsidR="00236A91" w:rsidRDefault="00153021">
      <w:pPr>
        <w:spacing w:after="17"/>
      </w:pPr>
      <w:r>
        <w:rPr>
          <w:rFonts w:ascii="Arial" w:eastAsia="Arial" w:hAnsi="Arial" w:cs="Arial"/>
          <w:b/>
          <w:sz w:val="19"/>
        </w:rPr>
        <w:t xml:space="preserve"> </w:t>
      </w:r>
    </w:p>
    <w:p w14:paraId="7F94D456" w14:textId="77777777" w:rsidR="00236A91" w:rsidRDefault="00153021">
      <w:pPr>
        <w:spacing w:after="17"/>
      </w:pPr>
      <w:r>
        <w:rPr>
          <w:rFonts w:ascii="Arial" w:eastAsia="Arial" w:hAnsi="Arial" w:cs="Arial"/>
          <w:b/>
          <w:sz w:val="19"/>
        </w:rPr>
        <w:t xml:space="preserve"> </w:t>
      </w:r>
    </w:p>
    <w:p w14:paraId="0BA2F59C" w14:textId="77777777" w:rsidR="00236A91" w:rsidRDefault="00153021">
      <w:pPr>
        <w:numPr>
          <w:ilvl w:val="2"/>
          <w:numId w:val="1"/>
        </w:numPr>
        <w:spacing w:after="18"/>
        <w:ind w:right="65" w:hanging="264"/>
        <w:jc w:val="right"/>
      </w:pPr>
      <w:r>
        <w:rPr>
          <w:rFonts w:ascii="Arial" w:eastAsia="Arial" w:hAnsi="Arial" w:cs="Arial"/>
          <w:b/>
          <w:sz w:val="19"/>
        </w:rPr>
        <w:t xml:space="preserve">marks </w:t>
      </w:r>
    </w:p>
    <w:p w14:paraId="05B519A6" w14:textId="77777777" w:rsidR="00236A91" w:rsidRDefault="00153021">
      <w:pPr>
        <w:spacing w:after="17"/>
      </w:pPr>
      <w:r>
        <w:rPr>
          <w:rFonts w:ascii="Arial" w:eastAsia="Arial" w:hAnsi="Arial" w:cs="Arial"/>
          <w:b/>
          <w:sz w:val="19"/>
        </w:rPr>
        <w:t xml:space="preserve"> </w:t>
      </w:r>
    </w:p>
    <w:p w14:paraId="0FA59CB8" w14:textId="77777777" w:rsidR="00236A91" w:rsidRDefault="00153021">
      <w:pPr>
        <w:spacing w:after="0"/>
      </w:pPr>
      <w:r>
        <w:rPr>
          <w:rFonts w:ascii="Arial" w:eastAsia="Arial" w:hAnsi="Arial" w:cs="Arial"/>
          <w:b/>
          <w:sz w:val="19"/>
        </w:rPr>
        <w:t xml:space="preserve"> </w:t>
      </w:r>
    </w:p>
    <w:p w14:paraId="5F7A0726" w14:textId="77777777" w:rsidR="00236A91" w:rsidRDefault="00153021">
      <w:pPr>
        <w:spacing w:after="17"/>
      </w:pPr>
      <w:r>
        <w:rPr>
          <w:rFonts w:ascii="Arial" w:eastAsia="Arial" w:hAnsi="Arial" w:cs="Arial"/>
          <w:b/>
          <w:sz w:val="19"/>
        </w:rPr>
        <w:t xml:space="preserve"> </w:t>
      </w:r>
    </w:p>
    <w:p w14:paraId="67712182" w14:textId="77777777" w:rsidR="00236A91" w:rsidRDefault="00153021">
      <w:pPr>
        <w:numPr>
          <w:ilvl w:val="0"/>
          <w:numId w:val="1"/>
        </w:numPr>
        <w:spacing w:after="12" w:line="268" w:lineRule="auto"/>
        <w:ind w:hanging="434"/>
        <w:jc w:val="both"/>
      </w:pPr>
      <w:r>
        <w:rPr>
          <w:rFonts w:ascii="Arial" w:eastAsia="Arial" w:hAnsi="Arial" w:cs="Arial"/>
          <w:b/>
          <w:sz w:val="19"/>
        </w:rPr>
        <w:t>Explain the difference between bankruptcy and insolvency.</w:t>
      </w:r>
      <w:r>
        <w:rPr>
          <w:rFonts w:ascii="Arial" w:eastAsia="Arial" w:hAnsi="Arial" w:cs="Arial"/>
          <w:sz w:val="19"/>
        </w:rPr>
        <w:t xml:space="preserve"> </w:t>
      </w:r>
    </w:p>
    <w:p w14:paraId="7A1F56DC" w14:textId="77777777" w:rsidR="00236A91" w:rsidRDefault="00153021">
      <w:pPr>
        <w:spacing w:after="17"/>
      </w:pPr>
      <w:r>
        <w:rPr>
          <w:rFonts w:ascii="Arial" w:eastAsia="Arial" w:hAnsi="Arial" w:cs="Arial"/>
          <w:sz w:val="19"/>
        </w:rPr>
        <w:t xml:space="preserve"> </w:t>
      </w:r>
    </w:p>
    <w:p w14:paraId="1F541F93" w14:textId="77777777" w:rsidR="00236A91" w:rsidRDefault="00153021">
      <w:pPr>
        <w:tabs>
          <w:tab w:val="center" w:pos="1020"/>
          <w:tab w:val="center" w:pos="1500"/>
          <w:tab w:val="center" w:pos="5341"/>
          <w:tab w:val="center" w:pos="6872"/>
          <w:tab w:val="center" w:pos="7501"/>
          <w:tab w:val="right" w:pos="9124"/>
        </w:tabs>
        <w:spacing w:after="18"/>
      </w:pPr>
      <w:r>
        <w:tab/>
      </w:r>
      <w:r>
        <w:rPr>
          <w:rFonts w:ascii="Arial" w:eastAsia="Arial" w:hAnsi="Arial" w:cs="Arial"/>
          <w:sz w:val="19"/>
        </w:rPr>
        <w:t xml:space="preserve"> </w:t>
      </w:r>
      <w:r>
        <w:rPr>
          <w:rFonts w:ascii="Arial" w:eastAsia="Arial" w:hAnsi="Arial" w:cs="Arial"/>
          <w:sz w:val="19"/>
        </w:rPr>
        <w:tab/>
        <w:t xml:space="preserve"> </w:t>
      </w:r>
      <w:r>
        <w:rPr>
          <w:rFonts w:ascii="Arial" w:eastAsia="Arial" w:hAnsi="Arial" w:cs="Arial"/>
          <w:sz w:val="19"/>
        </w:rPr>
        <w:tab/>
        <w:t xml:space="preserve"> </w:t>
      </w:r>
      <w:r>
        <w:rPr>
          <w:rFonts w:ascii="Arial" w:eastAsia="Arial" w:hAnsi="Arial" w:cs="Arial"/>
          <w:sz w:val="19"/>
        </w:rPr>
        <w:tab/>
        <w:t xml:space="preserve"> </w:t>
      </w:r>
      <w:r>
        <w:rPr>
          <w:rFonts w:ascii="Arial" w:eastAsia="Arial" w:hAnsi="Arial" w:cs="Arial"/>
          <w:sz w:val="19"/>
        </w:rPr>
        <w:tab/>
        <w:t xml:space="preserve"> </w:t>
      </w:r>
      <w:r>
        <w:rPr>
          <w:rFonts w:ascii="Arial" w:eastAsia="Arial" w:hAnsi="Arial" w:cs="Arial"/>
          <w:sz w:val="19"/>
        </w:rPr>
        <w:tab/>
      </w:r>
      <w:r>
        <w:rPr>
          <w:rFonts w:ascii="Arial" w:eastAsia="Arial" w:hAnsi="Arial" w:cs="Arial"/>
          <w:b/>
          <w:sz w:val="19"/>
        </w:rPr>
        <w:t xml:space="preserve">10 marks </w:t>
      </w:r>
    </w:p>
    <w:p w14:paraId="794C025F" w14:textId="77777777" w:rsidR="00236A91" w:rsidRDefault="00153021">
      <w:pPr>
        <w:spacing w:after="24"/>
      </w:pPr>
      <w:r>
        <w:rPr>
          <w:rFonts w:ascii="Arial" w:eastAsia="Arial" w:hAnsi="Arial" w:cs="Arial"/>
          <w:b/>
          <w:sz w:val="19"/>
        </w:rPr>
        <w:t xml:space="preserve"> </w:t>
      </w:r>
    </w:p>
    <w:p w14:paraId="7403EAA6" w14:textId="77777777" w:rsidR="00236A91" w:rsidRDefault="00153021">
      <w:pPr>
        <w:spacing w:after="5" w:line="268" w:lineRule="auto"/>
        <w:ind w:left="422" w:right="51" w:hanging="10"/>
      </w:pPr>
      <w:r>
        <w:rPr>
          <w:rFonts w:ascii="Arial" w:eastAsia="Arial" w:hAnsi="Arial" w:cs="Arial"/>
          <w:sz w:val="20"/>
        </w:rPr>
        <w:t xml:space="preserve">Marks are available for defining each concept and then explaining the difference. An example to illustrate would be helpful. </w:t>
      </w:r>
    </w:p>
    <w:p w14:paraId="554DD11F" w14:textId="77777777" w:rsidR="00236A91" w:rsidRDefault="00153021">
      <w:pPr>
        <w:spacing w:after="17"/>
        <w:ind w:left="427"/>
      </w:pPr>
      <w:r>
        <w:rPr>
          <w:rFonts w:ascii="Arial" w:eastAsia="Arial" w:hAnsi="Arial" w:cs="Arial"/>
          <w:sz w:val="20"/>
        </w:rPr>
        <w:t xml:space="preserve"> </w:t>
      </w:r>
    </w:p>
    <w:p w14:paraId="255C84FB" w14:textId="77777777" w:rsidR="00236A91" w:rsidRDefault="00153021">
      <w:pPr>
        <w:spacing w:after="5" w:line="268" w:lineRule="auto"/>
        <w:ind w:left="422" w:right="51" w:hanging="10"/>
      </w:pPr>
      <w:r>
        <w:rPr>
          <w:rFonts w:ascii="Arial" w:eastAsia="Arial" w:hAnsi="Arial" w:cs="Arial"/>
          <w:sz w:val="20"/>
        </w:rPr>
        <w:t xml:space="preserve">Bankruptcy tends to affect individuals whilst insolvency is more commonly used to refer to companies. </w:t>
      </w:r>
    </w:p>
    <w:p w14:paraId="6966482E" w14:textId="77777777" w:rsidR="00236A91" w:rsidRDefault="00153021">
      <w:pPr>
        <w:spacing w:after="17"/>
        <w:ind w:left="427"/>
      </w:pPr>
      <w:r>
        <w:rPr>
          <w:rFonts w:ascii="Arial" w:eastAsia="Arial" w:hAnsi="Arial" w:cs="Arial"/>
          <w:sz w:val="20"/>
        </w:rPr>
        <w:t xml:space="preserve"> </w:t>
      </w:r>
    </w:p>
    <w:p w14:paraId="13EBF2FE" w14:textId="77777777" w:rsidR="00236A91" w:rsidRDefault="00153021">
      <w:pPr>
        <w:spacing w:after="5" w:line="268" w:lineRule="auto"/>
        <w:ind w:left="422" w:right="51" w:hanging="10"/>
      </w:pPr>
      <w:r>
        <w:rPr>
          <w:rFonts w:ascii="Arial" w:eastAsia="Arial" w:hAnsi="Arial" w:cs="Arial"/>
          <w:sz w:val="20"/>
        </w:rPr>
        <w:t xml:space="preserve">(The relevant sections of the Study Manual are Part 4, Chapter 3) </w:t>
      </w:r>
    </w:p>
    <w:p w14:paraId="5DD5AB6D" w14:textId="77777777" w:rsidR="00236A91" w:rsidRDefault="00153021">
      <w:pPr>
        <w:tabs>
          <w:tab w:val="center" w:pos="1020"/>
          <w:tab w:val="center" w:pos="1500"/>
          <w:tab w:val="center" w:pos="5341"/>
          <w:tab w:val="center" w:pos="6872"/>
          <w:tab w:val="center" w:pos="7501"/>
          <w:tab w:val="right" w:pos="9124"/>
        </w:tabs>
        <w:spacing w:after="18"/>
      </w:pPr>
      <w:r>
        <w:tab/>
      </w:r>
      <w:r>
        <w:rPr>
          <w:rFonts w:ascii="Arial" w:eastAsia="Arial" w:hAnsi="Arial" w:cs="Arial"/>
          <w:sz w:val="19"/>
        </w:rPr>
        <w:t xml:space="preserve"> </w:t>
      </w:r>
      <w:r>
        <w:rPr>
          <w:rFonts w:ascii="Arial" w:eastAsia="Arial" w:hAnsi="Arial" w:cs="Arial"/>
          <w:sz w:val="19"/>
        </w:rPr>
        <w:tab/>
        <w:t xml:space="preserve"> </w:t>
      </w:r>
      <w:r>
        <w:rPr>
          <w:rFonts w:ascii="Arial" w:eastAsia="Arial" w:hAnsi="Arial" w:cs="Arial"/>
          <w:sz w:val="19"/>
        </w:rPr>
        <w:tab/>
        <w:t xml:space="preserve"> </w:t>
      </w:r>
      <w:r>
        <w:rPr>
          <w:rFonts w:ascii="Arial" w:eastAsia="Arial" w:hAnsi="Arial" w:cs="Arial"/>
          <w:sz w:val="19"/>
        </w:rPr>
        <w:tab/>
        <w:t xml:space="preserve"> </w:t>
      </w:r>
      <w:r>
        <w:rPr>
          <w:rFonts w:ascii="Arial" w:eastAsia="Arial" w:hAnsi="Arial" w:cs="Arial"/>
          <w:sz w:val="19"/>
        </w:rPr>
        <w:tab/>
        <w:t xml:space="preserve"> </w:t>
      </w:r>
      <w:r>
        <w:rPr>
          <w:rFonts w:ascii="Arial" w:eastAsia="Arial" w:hAnsi="Arial" w:cs="Arial"/>
          <w:sz w:val="19"/>
        </w:rPr>
        <w:tab/>
      </w:r>
      <w:r>
        <w:rPr>
          <w:rFonts w:ascii="Arial" w:eastAsia="Arial" w:hAnsi="Arial" w:cs="Arial"/>
          <w:b/>
          <w:sz w:val="19"/>
        </w:rPr>
        <w:t xml:space="preserve">10 marks </w:t>
      </w:r>
    </w:p>
    <w:p w14:paraId="691E546E" w14:textId="77777777" w:rsidR="00236A91" w:rsidRDefault="00153021">
      <w:pPr>
        <w:spacing w:after="17"/>
      </w:pPr>
      <w:r>
        <w:rPr>
          <w:rFonts w:ascii="Arial" w:eastAsia="Arial" w:hAnsi="Arial" w:cs="Arial"/>
          <w:b/>
          <w:sz w:val="19"/>
        </w:rPr>
        <w:t xml:space="preserve"> </w:t>
      </w:r>
    </w:p>
    <w:p w14:paraId="4B99E603" w14:textId="77777777" w:rsidR="00236A91" w:rsidRDefault="00153021">
      <w:pPr>
        <w:spacing w:after="17"/>
      </w:pPr>
      <w:r>
        <w:rPr>
          <w:rFonts w:ascii="Arial" w:eastAsia="Arial" w:hAnsi="Arial" w:cs="Arial"/>
          <w:b/>
          <w:sz w:val="19"/>
        </w:rPr>
        <w:t xml:space="preserve"> </w:t>
      </w:r>
    </w:p>
    <w:p w14:paraId="6A19EA10" w14:textId="77777777" w:rsidR="00236A91" w:rsidRDefault="00153021">
      <w:pPr>
        <w:numPr>
          <w:ilvl w:val="0"/>
          <w:numId w:val="1"/>
        </w:numPr>
        <w:spacing w:after="12" w:line="268" w:lineRule="auto"/>
        <w:ind w:hanging="434"/>
        <w:jc w:val="both"/>
      </w:pPr>
      <w:r>
        <w:rPr>
          <w:rFonts w:ascii="Arial" w:eastAsia="Arial" w:hAnsi="Arial" w:cs="Arial"/>
          <w:b/>
          <w:sz w:val="19"/>
        </w:rPr>
        <w:t xml:space="preserve">Write brief notes on the following forms of property ownership in the UK: </w:t>
      </w:r>
    </w:p>
    <w:p w14:paraId="7F355401" w14:textId="77777777" w:rsidR="00236A91" w:rsidRDefault="00153021">
      <w:pPr>
        <w:spacing w:after="17"/>
      </w:pPr>
      <w:r>
        <w:rPr>
          <w:rFonts w:ascii="Arial" w:eastAsia="Arial" w:hAnsi="Arial" w:cs="Arial"/>
          <w:b/>
          <w:sz w:val="19"/>
        </w:rPr>
        <w:t xml:space="preserve"> </w:t>
      </w:r>
    </w:p>
    <w:p w14:paraId="3BE4B5A8" w14:textId="77777777" w:rsidR="00236A91" w:rsidRDefault="00153021">
      <w:pPr>
        <w:numPr>
          <w:ilvl w:val="1"/>
          <w:numId w:val="3"/>
        </w:numPr>
        <w:spacing w:after="12" w:line="268" w:lineRule="auto"/>
        <w:ind w:right="3288" w:hanging="425"/>
        <w:jc w:val="both"/>
      </w:pPr>
      <w:r>
        <w:rPr>
          <w:rFonts w:ascii="Arial" w:eastAsia="Arial" w:hAnsi="Arial" w:cs="Arial"/>
          <w:b/>
          <w:sz w:val="19"/>
        </w:rPr>
        <w:t xml:space="preserve">Freehold; </w:t>
      </w:r>
    </w:p>
    <w:p w14:paraId="5019BB48" w14:textId="77777777" w:rsidR="00236A91" w:rsidRDefault="00153021">
      <w:pPr>
        <w:numPr>
          <w:ilvl w:val="1"/>
          <w:numId w:val="3"/>
        </w:numPr>
        <w:spacing w:after="12" w:line="268" w:lineRule="auto"/>
        <w:ind w:right="3288" w:hanging="425"/>
        <w:jc w:val="both"/>
      </w:pPr>
      <w:r>
        <w:rPr>
          <w:rFonts w:ascii="Arial" w:eastAsia="Arial" w:hAnsi="Arial" w:cs="Arial"/>
          <w:b/>
          <w:sz w:val="19"/>
        </w:rPr>
        <w:t xml:space="preserve">Leasehold; (iii) Commonhold; and (iv) Shared ownership. </w:t>
      </w:r>
    </w:p>
    <w:p w14:paraId="06329D6A" w14:textId="77777777" w:rsidR="00236A91" w:rsidRDefault="00153021">
      <w:pPr>
        <w:spacing w:after="14"/>
      </w:pPr>
      <w:r>
        <w:rPr>
          <w:rFonts w:ascii="Arial" w:eastAsia="Arial" w:hAnsi="Arial" w:cs="Arial"/>
          <w:sz w:val="19"/>
        </w:rPr>
        <w:t xml:space="preserve"> </w:t>
      </w:r>
    </w:p>
    <w:p w14:paraId="5ECDA055" w14:textId="77777777" w:rsidR="00236A91" w:rsidRDefault="00153021">
      <w:pPr>
        <w:tabs>
          <w:tab w:val="center" w:pos="1020"/>
          <w:tab w:val="center" w:pos="1500"/>
          <w:tab w:val="center" w:pos="5341"/>
          <w:tab w:val="center" w:pos="6872"/>
          <w:tab w:val="center" w:pos="7501"/>
          <w:tab w:val="right" w:pos="9124"/>
        </w:tabs>
        <w:spacing w:after="18"/>
      </w:pPr>
      <w:r>
        <w:tab/>
      </w:r>
      <w:r>
        <w:rPr>
          <w:rFonts w:ascii="Arial" w:eastAsia="Arial" w:hAnsi="Arial" w:cs="Arial"/>
          <w:sz w:val="19"/>
        </w:rPr>
        <w:t xml:space="preserve"> </w:t>
      </w:r>
      <w:r>
        <w:rPr>
          <w:rFonts w:ascii="Arial" w:eastAsia="Arial" w:hAnsi="Arial" w:cs="Arial"/>
          <w:sz w:val="19"/>
        </w:rPr>
        <w:tab/>
        <w:t xml:space="preserve"> </w:t>
      </w:r>
      <w:r>
        <w:rPr>
          <w:rFonts w:ascii="Arial" w:eastAsia="Arial" w:hAnsi="Arial" w:cs="Arial"/>
          <w:sz w:val="19"/>
        </w:rPr>
        <w:tab/>
        <w:t xml:space="preserve"> </w:t>
      </w:r>
      <w:r>
        <w:rPr>
          <w:rFonts w:ascii="Arial" w:eastAsia="Arial" w:hAnsi="Arial" w:cs="Arial"/>
          <w:sz w:val="19"/>
        </w:rPr>
        <w:tab/>
        <w:t xml:space="preserve"> </w:t>
      </w:r>
      <w:r>
        <w:rPr>
          <w:rFonts w:ascii="Arial" w:eastAsia="Arial" w:hAnsi="Arial" w:cs="Arial"/>
          <w:sz w:val="19"/>
        </w:rPr>
        <w:tab/>
        <w:t xml:space="preserve"> </w:t>
      </w:r>
      <w:r>
        <w:rPr>
          <w:rFonts w:ascii="Arial" w:eastAsia="Arial" w:hAnsi="Arial" w:cs="Arial"/>
          <w:sz w:val="19"/>
        </w:rPr>
        <w:tab/>
      </w:r>
      <w:r>
        <w:rPr>
          <w:rFonts w:ascii="Arial" w:eastAsia="Arial" w:hAnsi="Arial" w:cs="Arial"/>
          <w:b/>
          <w:sz w:val="19"/>
        </w:rPr>
        <w:t xml:space="preserve">15 marks </w:t>
      </w:r>
    </w:p>
    <w:p w14:paraId="118CB8E5" w14:textId="77777777" w:rsidR="00236A91" w:rsidRDefault="00153021">
      <w:pPr>
        <w:spacing w:after="26"/>
      </w:pPr>
      <w:r>
        <w:rPr>
          <w:rFonts w:ascii="Arial" w:eastAsia="Arial" w:hAnsi="Arial" w:cs="Arial"/>
          <w:b/>
          <w:sz w:val="19"/>
        </w:rPr>
        <w:t xml:space="preserve"> </w:t>
      </w:r>
    </w:p>
    <w:p w14:paraId="5E9DDEC3" w14:textId="4D4354B2" w:rsidR="00236A91" w:rsidRDefault="00153021">
      <w:pPr>
        <w:spacing w:after="5" w:line="268" w:lineRule="auto"/>
        <w:ind w:left="422" w:right="51" w:hanging="10"/>
        <w:rPr>
          <w:rFonts w:ascii="Arial" w:eastAsia="Arial" w:hAnsi="Arial" w:cs="Arial"/>
          <w:sz w:val="20"/>
        </w:rPr>
      </w:pPr>
      <w:r>
        <w:rPr>
          <w:rFonts w:ascii="Arial" w:eastAsia="Arial" w:hAnsi="Arial" w:cs="Arial"/>
          <w:sz w:val="20"/>
        </w:rPr>
        <w:t xml:space="preserve">Approximately equal marks are available for each section of this question. Therefore, answers are only required to be brief, with approximately 3-4 marks available for each. Examples would be helpful. </w:t>
      </w:r>
    </w:p>
    <w:p w14:paraId="2B14FFDD" w14:textId="5FA89AE6" w:rsidR="005C411B" w:rsidRDefault="005C411B">
      <w:pPr>
        <w:spacing w:after="5" w:line="268" w:lineRule="auto"/>
        <w:ind w:left="422" w:right="51" w:hanging="10"/>
        <w:rPr>
          <w:rFonts w:ascii="Arial" w:eastAsia="Arial" w:hAnsi="Arial" w:cs="Arial"/>
          <w:sz w:val="20"/>
        </w:rPr>
      </w:pPr>
    </w:p>
    <w:p w14:paraId="624B4CAF" w14:textId="60ED32B2" w:rsidR="005C411B" w:rsidRDefault="005C411B">
      <w:pPr>
        <w:spacing w:after="5" w:line="268" w:lineRule="auto"/>
        <w:ind w:left="422" w:right="51" w:hanging="10"/>
      </w:pPr>
      <w:r w:rsidRPr="005C411B">
        <w:t xml:space="preserve">If a property is freehold it means that the individual owns the property and the land on which it is built outright (subject perhaps </w:t>
      </w:r>
      <w:proofErr w:type="spellStart"/>
      <w:r w:rsidRPr="005C411B">
        <w:t>to</w:t>
      </w:r>
      <w:proofErr w:type="spellEnd"/>
      <w:r w:rsidRPr="005C411B">
        <w:t xml:space="preserve"> restrictive covenants).A freehold property remains the property of the owner until he decides to sell it or dies. When the owner dies, it is part of his or her estate and can be bequeathed to his or her heirs.</w:t>
      </w:r>
    </w:p>
    <w:p w14:paraId="06BECC5F" w14:textId="4F57E9EC" w:rsidR="005C411B" w:rsidRDefault="005C411B">
      <w:pPr>
        <w:spacing w:after="5" w:line="268" w:lineRule="auto"/>
        <w:ind w:left="422" w:right="51" w:hanging="10"/>
      </w:pPr>
      <w:r w:rsidRPr="005C411B">
        <w:t>Under a leasehold agreement, the land on which a property is built is not owned outright by the owner of the property. Instead, it is leased to the property owner for the period stated in the lease. The leaseholder pays a ground rent to the freeholder. The land and any property on it would revert to the freeholder who owns the land outright when the lease expires. The length of a lease diminishes over time; its initial term is typically for 99 years although leases do exist for up to 999 years. The duration of the lease purchased has a direct bearing on a property’s value</w:t>
      </w:r>
      <w:r>
        <w:t>.</w:t>
      </w:r>
    </w:p>
    <w:p w14:paraId="75D73A83" w14:textId="5CEC9A51" w:rsidR="005C411B" w:rsidRDefault="005C411B">
      <w:pPr>
        <w:spacing w:after="5" w:line="268" w:lineRule="auto"/>
        <w:ind w:left="422" w:right="51" w:hanging="10"/>
      </w:pPr>
    </w:p>
    <w:p w14:paraId="7BE8F076" w14:textId="55B98BDB" w:rsidR="005C411B" w:rsidRDefault="005C411B">
      <w:pPr>
        <w:spacing w:after="5" w:line="268" w:lineRule="auto"/>
        <w:ind w:left="422" w:right="51" w:hanging="10"/>
      </w:pPr>
      <w:r w:rsidRPr="005C411B">
        <w:t>Shared ownership are schemes operated by housing associations which allow a purchaser to buy a share in a property, usually 25%, 50% or 75%, while paying a rent to the housing association for its share of the property: the scheme is called Help to Buy: Shared Ownership. The purchaser will then be able to buy additional shares in the property from the housing association over time until they eventually own 100% of the property. Shared ownership properties can be sold, with the new owner taking on the existing owned/ rented split and being given the option to increase their ownership as above. Modified versions of the scheme are available to the over 55s and for people with disabilities</w:t>
      </w:r>
    </w:p>
    <w:p w14:paraId="6977DA2B" w14:textId="77777777" w:rsidR="00236A91" w:rsidRDefault="00153021">
      <w:pPr>
        <w:spacing w:after="17"/>
        <w:ind w:left="427"/>
      </w:pPr>
      <w:r>
        <w:rPr>
          <w:rFonts w:ascii="Arial" w:eastAsia="Arial" w:hAnsi="Arial" w:cs="Arial"/>
          <w:sz w:val="20"/>
        </w:rPr>
        <w:t xml:space="preserve"> </w:t>
      </w:r>
    </w:p>
    <w:p w14:paraId="35F9A313" w14:textId="77777777" w:rsidR="00236A91" w:rsidRDefault="00153021">
      <w:pPr>
        <w:spacing w:after="5" w:line="268" w:lineRule="auto"/>
        <w:ind w:left="422" w:right="51" w:hanging="10"/>
      </w:pPr>
      <w:r>
        <w:rPr>
          <w:rFonts w:ascii="Arial" w:eastAsia="Arial" w:hAnsi="Arial" w:cs="Arial"/>
          <w:sz w:val="20"/>
        </w:rPr>
        <w:t xml:space="preserve">(The relevant section of the Study Manual is Part 4, Chapter 4) </w:t>
      </w:r>
    </w:p>
    <w:p w14:paraId="44F1E89E" w14:textId="77777777" w:rsidR="00236A91" w:rsidRDefault="00153021">
      <w:pPr>
        <w:tabs>
          <w:tab w:val="center" w:pos="1020"/>
          <w:tab w:val="center" w:pos="1500"/>
          <w:tab w:val="center" w:pos="5341"/>
          <w:tab w:val="center" w:pos="6872"/>
          <w:tab w:val="center" w:pos="7501"/>
          <w:tab w:val="right" w:pos="9124"/>
        </w:tabs>
        <w:spacing w:after="18"/>
      </w:pPr>
      <w:r>
        <w:tab/>
      </w:r>
      <w:r>
        <w:rPr>
          <w:rFonts w:ascii="Arial" w:eastAsia="Arial" w:hAnsi="Arial" w:cs="Arial"/>
          <w:sz w:val="19"/>
        </w:rPr>
        <w:t xml:space="preserve"> </w:t>
      </w:r>
      <w:r>
        <w:rPr>
          <w:rFonts w:ascii="Arial" w:eastAsia="Arial" w:hAnsi="Arial" w:cs="Arial"/>
          <w:sz w:val="19"/>
        </w:rPr>
        <w:tab/>
        <w:t xml:space="preserve"> </w:t>
      </w:r>
      <w:r>
        <w:rPr>
          <w:rFonts w:ascii="Arial" w:eastAsia="Arial" w:hAnsi="Arial" w:cs="Arial"/>
          <w:sz w:val="19"/>
        </w:rPr>
        <w:tab/>
        <w:t xml:space="preserve"> </w:t>
      </w:r>
      <w:r>
        <w:rPr>
          <w:rFonts w:ascii="Arial" w:eastAsia="Arial" w:hAnsi="Arial" w:cs="Arial"/>
          <w:sz w:val="19"/>
        </w:rPr>
        <w:tab/>
        <w:t xml:space="preserve"> </w:t>
      </w:r>
      <w:r>
        <w:rPr>
          <w:rFonts w:ascii="Arial" w:eastAsia="Arial" w:hAnsi="Arial" w:cs="Arial"/>
          <w:sz w:val="19"/>
        </w:rPr>
        <w:tab/>
        <w:t xml:space="preserve"> </w:t>
      </w:r>
      <w:r>
        <w:rPr>
          <w:rFonts w:ascii="Arial" w:eastAsia="Arial" w:hAnsi="Arial" w:cs="Arial"/>
          <w:sz w:val="19"/>
        </w:rPr>
        <w:tab/>
      </w:r>
      <w:r>
        <w:rPr>
          <w:rFonts w:ascii="Arial" w:eastAsia="Arial" w:hAnsi="Arial" w:cs="Arial"/>
          <w:b/>
          <w:sz w:val="19"/>
        </w:rPr>
        <w:t xml:space="preserve">15 marks </w:t>
      </w:r>
    </w:p>
    <w:p w14:paraId="0F75D1A3" w14:textId="77777777" w:rsidR="00236A91" w:rsidRDefault="00153021">
      <w:pPr>
        <w:spacing w:after="17"/>
      </w:pPr>
      <w:r>
        <w:rPr>
          <w:rFonts w:ascii="Arial" w:eastAsia="Arial" w:hAnsi="Arial" w:cs="Arial"/>
          <w:b/>
          <w:sz w:val="19"/>
        </w:rPr>
        <w:t xml:space="preserve"> </w:t>
      </w:r>
    </w:p>
    <w:p w14:paraId="35F824B2" w14:textId="77777777" w:rsidR="00236A91" w:rsidRDefault="00153021">
      <w:pPr>
        <w:spacing w:after="0"/>
      </w:pPr>
      <w:r>
        <w:rPr>
          <w:rFonts w:ascii="Arial" w:eastAsia="Arial" w:hAnsi="Arial" w:cs="Arial"/>
          <w:b/>
          <w:sz w:val="19"/>
        </w:rPr>
        <w:t xml:space="preserve"> </w:t>
      </w:r>
    </w:p>
    <w:sectPr w:rsidR="00236A91">
      <w:footerReference w:type="even" r:id="rId8"/>
      <w:footerReference w:type="default" r:id="rId9"/>
      <w:footerReference w:type="first" r:id="rId10"/>
      <w:pgSz w:w="11906" w:h="16838"/>
      <w:pgMar w:top="1446" w:right="1364" w:bottom="1701" w:left="1419"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BE9DF" w14:textId="77777777" w:rsidR="00A645D2" w:rsidRDefault="00A645D2">
      <w:pPr>
        <w:spacing w:after="0" w:line="240" w:lineRule="auto"/>
      </w:pPr>
      <w:r>
        <w:separator/>
      </w:r>
    </w:p>
  </w:endnote>
  <w:endnote w:type="continuationSeparator" w:id="0">
    <w:p w14:paraId="27C14529" w14:textId="77777777" w:rsidR="00A645D2" w:rsidRDefault="00A64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52556" w14:textId="77777777" w:rsidR="00236A91" w:rsidRDefault="00153021">
    <w:pPr>
      <w:spacing w:after="0"/>
    </w:pPr>
    <w:r>
      <w:rPr>
        <w:rFonts w:ascii="Arial" w:eastAsia="Arial" w:hAnsi="Arial" w:cs="Arial"/>
        <w:sz w:val="16"/>
      </w:rPr>
      <w:t xml:space="preserve"> </w:t>
    </w:r>
  </w:p>
  <w:p w14:paraId="00B61C07" w14:textId="77777777" w:rsidR="00236A91" w:rsidRDefault="00153021">
    <w:pPr>
      <w:tabs>
        <w:tab w:val="center" w:pos="4321"/>
        <w:tab w:val="right" w:pos="9124"/>
      </w:tabs>
      <w:spacing w:after="0"/>
    </w:pPr>
    <w:r>
      <w:rPr>
        <w:rFonts w:ascii="Arial" w:eastAsia="Arial" w:hAnsi="Arial" w:cs="Arial"/>
        <w:sz w:val="16"/>
      </w:rPr>
      <w:t xml:space="preserve">Retail Advice and Regulation Assignment 3 Notes </w:t>
    </w:r>
    <w:r>
      <w:rPr>
        <w:rFonts w:ascii="Arial" w:eastAsia="Arial" w:hAnsi="Arial" w:cs="Arial"/>
        <w:sz w:val="16"/>
      </w:rPr>
      <w:tab/>
      <w:t xml:space="preserve"> </w:t>
    </w:r>
    <w:r>
      <w:rPr>
        <w:rFonts w:ascii="Arial" w:eastAsia="Arial" w:hAnsi="Arial" w:cs="Arial"/>
        <w:sz w:val="16"/>
      </w:rPr>
      <w:tab/>
      <w:t xml:space="preserve">2018/19 Edition </w:t>
    </w:r>
  </w:p>
  <w:p w14:paraId="655DEC77" w14:textId="77777777" w:rsidR="00236A91" w:rsidRDefault="00153021">
    <w:pPr>
      <w:spacing w:after="57"/>
    </w:pPr>
    <w:r>
      <w:rPr>
        <w:rFonts w:ascii="Arial" w:eastAsia="Arial" w:hAnsi="Arial" w:cs="Arial"/>
        <w:sz w:val="16"/>
      </w:rPr>
      <w:t xml:space="preserve">© The Pensions Management Institute 2019 </w:t>
    </w:r>
  </w:p>
  <w:p w14:paraId="5F458CB6" w14:textId="77777777" w:rsidR="00236A91" w:rsidRDefault="00153021">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6D22" w14:textId="77777777" w:rsidR="00236A91" w:rsidRDefault="00153021">
    <w:pPr>
      <w:spacing w:after="0"/>
    </w:pPr>
    <w:r>
      <w:rPr>
        <w:rFonts w:ascii="Arial" w:eastAsia="Arial" w:hAnsi="Arial" w:cs="Arial"/>
        <w:sz w:val="16"/>
      </w:rPr>
      <w:t xml:space="preserve"> </w:t>
    </w:r>
  </w:p>
  <w:p w14:paraId="36F25744" w14:textId="77777777" w:rsidR="00236A91" w:rsidRDefault="00153021">
    <w:pPr>
      <w:tabs>
        <w:tab w:val="center" w:pos="4321"/>
        <w:tab w:val="right" w:pos="9124"/>
      </w:tabs>
      <w:spacing w:after="0"/>
    </w:pPr>
    <w:r>
      <w:rPr>
        <w:rFonts w:ascii="Arial" w:eastAsia="Arial" w:hAnsi="Arial" w:cs="Arial"/>
        <w:sz w:val="16"/>
      </w:rPr>
      <w:t xml:space="preserve">Retail Advice and Regulation Assignment 3 Notes </w:t>
    </w:r>
    <w:r>
      <w:rPr>
        <w:rFonts w:ascii="Arial" w:eastAsia="Arial" w:hAnsi="Arial" w:cs="Arial"/>
        <w:sz w:val="16"/>
      </w:rPr>
      <w:tab/>
      <w:t xml:space="preserve"> </w:t>
    </w:r>
    <w:r>
      <w:rPr>
        <w:rFonts w:ascii="Arial" w:eastAsia="Arial" w:hAnsi="Arial" w:cs="Arial"/>
        <w:sz w:val="16"/>
      </w:rPr>
      <w:tab/>
      <w:t xml:space="preserve">2018/19 Edition </w:t>
    </w:r>
  </w:p>
  <w:p w14:paraId="0A0AA219" w14:textId="77777777" w:rsidR="00236A91" w:rsidRDefault="00153021">
    <w:pPr>
      <w:spacing w:after="57"/>
    </w:pPr>
    <w:r>
      <w:rPr>
        <w:rFonts w:ascii="Arial" w:eastAsia="Arial" w:hAnsi="Arial" w:cs="Arial"/>
        <w:sz w:val="16"/>
      </w:rPr>
      <w:t xml:space="preserve">© The Pensions Management Institute 2019 </w:t>
    </w:r>
  </w:p>
  <w:p w14:paraId="54F95D1E" w14:textId="77777777" w:rsidR="00236A91" w:rsidRDefault="00153021">
    <w:pPr>
      <w:spacing w:after="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A5FD" w14:textId="77777777" w:rsidR="00236A91" w:rsidRDefault="00153021">
    <w:pPr>
      <w:spacing w:after="0"/>
    </w:pPr>
    <w:r>
      <w:rPr>
        <w:rFonts w:ascii="Arial" w:eastAsia="Arial" w:hAnsi="Arial" w:cs="Arial"/>
        <w:sz w:val="16"/>
      </w:rPr>
      <w:t xml:space="preserve"> </w:t>
    </w:r>
  </w:p>
  <w:p w14:paraId="6999AF5A" w14:textId="77777777" w:rsidR="00236A91" w:rsidRDefault="00153021">
    <w:pPr>
      <w:tabs>
        <w:tab w:val="center" w:pos="4321"/>
        <w:tab w:val="right" w:pos="9124"/>
      </w:tabs>
      <w:spacing w:after="0"/>
    </w:pPr>
    <w:r>
      <w:rPr>
        <w:rFonts w:ascii="Arial" w:eastAsia="Arial" w:hAnsi="Arial" w:cs="Arial"/>
        <w:sz w:val="16"/>
      </w:rPr>
      <w:t xml:space="preserve">Retail Advice and Regulation Assignment 3 Notes </w:t>
    </w:r>
    <w:r>
      <w:rPr>
        <w:rFonts w:ascii="Arial" w:eastAsia="Arial" w:hAnsi="Arial" w:cs="Arial"/>
        <w:sz w:val="16"/>
      </w:rPr>
      <w:tab/>
      <w:t xml:space="preserve"> </w:t>
    </w:r>
    <w:r>
      <w:rPr>
        <w:rFonts w:ascii="Arial" w:eastAsia="Arial" w:hAnsi="Arial" w:cs="Arial"/>
        <w:sz w:val="16"/>
      </w:rPr>
      <w:tab/>
      <w:t xml:space="preserve">2018/19 Edition </w:t>
    </w:r>
  </w:p>
  <w:p w14:paraId="47E904BC" w14:textId="77777777" w:rsidR="00236A91" w:rsidRDefault="00153021">
    <w:pPr>
      <w:spacing w:after="57"/>
    </w:pPr>
    <w:r>
      <w:rPr>
        <w:rFonts w:ascii="Arial" w:eastAsia="Arial" w:hAnsi="Arial" w:cs="Arial"/>
        <w:sz w:val="16"/>
      </w:rPr>
      <w:t xml:space="preserve">© The Pensions Management Institute 2019 </w:t>
    </w:r>
  </w:p>
  <w:p w14:paraId="51676F7F" w14:textId="77777777" w:rsidR="00236A91" w:rsidRDefault="00153021">
    <w:pPr>
      <w:spacing w:after="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C3500" w14:textId="77777777" w:rsidR="00A645D2" w:rsidRDefault="00A645D2">
      <w:pPr>
        <w:spacing w:after="0" w:line="240" w:lineRule="auto"/>
      </w:pPr>
      <w:r>
        <w:separator/>
      </w:r>
    </w:p>
  </w:footnote>
  <w:footnote w:type="continuationSeparator" w:id="0">
    <w:p w14:paraId="2B375BA6" w14:textId="77777777" w:rsidR="00A645D2" w:rsidRDefault="00A645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954A8"/>
    <w:multiLevelType w:val="hybridMultilevel"/>
    <w:tmpl w:val="DF0C583C"/>
    <w:lvl w:ilvl="0" w:tplc="77486AFE">
      <w:start w:val="1"/>
      <w:numFmt w:val="bullet"/>
      <w:lvlText w:val="•"/>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E3430BE">
      <w:start w:val="1"/>
      <w:numFmt w:val="bullet"/>
      <w:lvlText w:val="•"/>
      <w:lvlJc w:val="left"/>
      <w:pPr>
        <w:ind w:left="8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39028676">
      <w:start w:val="1"/>
      <w:numFmt w:val="bullet"/>
      <w:lvlText w:val="▪"/>
      <w:lvlJc w:val="left"/>
      <w:pPr>
        <w:ind w:left="150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C2A49220">
      <w:start w:val="1"/>
      <w:numFmt w:val="bullet"/>
      <w:lvlText w:val="•"/>
      <w:lvlJc w:val="left"/>
      <w:pPr>
        <w:ind w:left="222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37D2BEA2">
      <w:start w:val="1"/>
      <w:numFmt w:val="bullet"/>
      <w:lvlText w:val="o"/>
      <w:lvlJc w:val="left"/>
      <w:pPr>
        <w:ind w:left="294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D8AAB420">
      <w:start w:val="1"/>
      <w:numFmt w:val="bullet"/>
      <w:lvlText w:val="▪"/>
      <w:lvlJc w:val="left"/>
      <w:pPr>
        <w:ind w:left="366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A4144172">
      <w:start w:val="1"/>
      <w:numFmt w:val="bullet"/>
      <w:lvlText w:val="•"/>
      <w:lvlJc w:val="left"/>
      <w:pPr>
        <w:ind w:left="438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1841A52">
      <w:start w:val="1"/>
      <w:numFmt w:val="bullet"/>
      <w:lvlText w:val="o"/>
      <w:lvlJc w:val="left"/>
      <w:pPr>
        <w:ind w:left="510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2F14A2BE">
      <w:start w:val="1"/>
      <w:numFmt w:val="bullet"/>
      <w:lvlText w:val="▪"/>
      <w:lvlJc w:val="left"/>
      <w:pPr>
        <w:ind w:left="582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2DF4322A"/>
    <w:multiLevelType w:val="hybridMultilevel"/>
    <w:tmpl w:val="6E60FC74"/>
    <w:lvl w:ilvl="0" w:tplc="8968BE1E">
      <w:start w:val="1"/>
      <w:numFmt w:val="decimal"/>
      <w:lvlText w:val="%1."/>
      <w:lvlJc w:val="left"/>
      <w:pPr>
        <w:ind w:left="4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DE4624">
      <w:start w:val="1"/>
      <w:numFmt w:val="upperLetter"/>
      <w:lvlText w:val="%2"/>
      <w:lvlJc w:val="left"/>
      <w:pPr>
        <w:ind w:left="59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202CA0B6">
      <w:start w:val="15"/>
      <w:numFmt w:val="decimal"/>
      <w:lvlText w:val="%3"/>
      <w:lvlJc w:val="left"/>
      <w:pPr>
        <w:ind w:left="1396"/>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0EE49084">
      <w:start w:val="1"/>
      <w:numFmt w:val="decimal"/>
      <w:lvlText w:val="%4"/>
      <w:lvlJc w:val="left"/>
      <w:pPr>
        <w:ind w:left="9328"/>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AE2C690A">
      <w:start w:val="1"/>
      <w:numFmt w:val="lowerLetter"/>
      <w:lvlText w:val="%5"/>
      <w:lvlJc w:val="left"/>
      <w:pPr>
        <w:ind w:left="10048"/>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04A805CC">
      <w:start w:val="1"/>
      <w:numFmt w:val="lowerRoman"/>
      <w:lvlText w:val="%6"/>
      <w:lvlJc w:val="left"/>
      <w:pPr>
        <w:ind w:left="10768"/>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D2882AA4">
      <w:start w:val="1"/>
      <w:numFmt w:val="decimal"/>
      <w:lvlText w:val="%7"/>
      <w:lvlJc w:val="left"/>
      <w:pPr>
        <w:ind w:left="11488"/>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5C9AFE94">
      <w:start w:val="1"/>
      <w:numFmt w:val="lowerLetter"/>
      <w:lvlText w:val="%8"/>
      <w:lvlJc w:val="left"/>
      <w:pPr>
        <w:ind w:left="12208"/>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13180104">
      <w:start w:val="1"/>
      <w:numFmt w:val="lowerRoman"/>
      <w:lvlText w:val="%9"/>
      <w:lvlJc w:val="left"/>
      <w:pPr>
        <w:ind w:left="12928"/>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6E284B23"/>
    <w:multiLevelType w:val="hybridMultilevel"/>
    <w:tmpl w:val="6DC6A9AC"/>
    <w:lvl w:ilvl="0" w:tplc="CE08BA3A">
      <w:start w:val="1"/>
      <w:numFmt w:val="decimal"/>
      <w:lvlText w:val="%1"/>
      <w:lvlJc w:val="left"/>
      <w:pPr>
        <w:ind w:left="3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C9B6099C">
      <w:start w:val="1"/>
      <w:numFmt w:val="lowerRoman"/>
      <w:lvlText w:val="(%2)"/>
      <w:lvlJc w:val="left"/>
      <w:pPr>
        <w:ind w:left="852"/>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15FE343C">
      <w:start w:val="1"/>
      <w:numFmt w:val="lowerRoman"/>
      <w:lvlText w:val="%3"/>
      <w:lvlJc w:val="left"/>
      <w:pPr>
        <w:ind w:left="150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65E47CAC">
      <w:start w:val="1"/>
      <w:numFmt w:val="decimal"/>
      <w:lvlText w:val="%4"/>
      <w:lvlJc w:val="left"/>
      <w:pPr>
        <w:ind w:left="222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36A4AEDA">
      <w:start w:val="1"/>
      <w:numFmt w:val="lowerLetter"/>
      <w:lvlText w:val="%5"/>
      <w:lvlJc w:val="left"/>
      <w:pPr>
        <w:ind w:left="294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65803526">
      <w:start w:val="1"/>
      <w:numFmt w:val="lowerRoman"/>
      <w:lvlText w:val="%6"/>
      <w:lvlJc w:val="left"/>
      <w:pPr>
        <w:ind w:left="366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8432FDCE">
      <w:start w:val="1"/>
      <w:numFmt w:val="decimal"/>
      <w:lvlText w:val="%7"/>
      <w:lvlJc w:val="left"/>
      <w:pPr>
        <w:ind w:left="438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7F123E4A">
      <w:start w:val="1"/>
      <w:numFmt w:val="lowerLetter"/>
      <w:lvlText w:val="%8"/>
      <w:lvlJc w:val="left"/>
      <w:pPr>
        <w:ind w:left="510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F91EA6D6">
      <w:start w:val="1"/>
      <w:numFmt w:val="lowerRoman"/>
      <w:lvlText w:val="%9"/>
      <w:lvlJc w:val="left"/>
      <w:pPr>
        <w:ind w:left="582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7E903CBB"/>
    <w:multiLevelType w:val="hybridMultilevel"/>
    <w:tmpl w:val="FFDAE070"/>
    <w:lvl w:ilvl="0" w:tplc="E056E774">
      <w:start w:val="1"/>
      <w:numFmt w:val="bullet"/>
      <w:lvlText w:val="•"/>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444DD4E">
      <w:start w:val="1"/>
      <w:numFmt w:val="bullet"/>
      <w:lvlText w:val="•"/>
      <w:lvlJc w:val="left"/>
      <w:pPr>
        <w:ind w:left="8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B53E7DCA">
      <w:start w:val="1"/>
      <w:numFmt w:val="bullet"/>
      <w:lvlText w:val="▪"/>
      <w:lvlJc w:val="left"/>
      <w:pPr>
        <w:ind w:left="150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4C420D6A">
      <w:start w:val="1"/>
      <w:numFmt w:val="bullet"/>
      <w:lvlText w:val="•"/>
      <w:lvlJc w:val="left"/>
      <w:pPr>
        <w:ind w:left="222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1BE15FA">
      <w:start w:val="1"/>
      <w:numFmt w:val="bullet"/>
      <w:lvlText w:val="o"/>
      <w:lvlJc w:val="left"/>
      <w:pPr>
        <w:ind w:left="294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807A5DF8">
      <w:start w:val="1"/>
      <w:numFmt w:val="bullet"/>
      <w:lvlText w:val="▪"/>
      <w:lvlJc w:val="left"/>
      <w:pPr>
        <w:ind w:left="366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4D123D5E">
      <w:start w:val="1"/>
      <w:numFmt w:val="bullet"/>
      <w:lvlText w:val="•"/>
      <w:lvlJc w:val="left"/>
      <w:pPr>
        <w:ind w:left="438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BA96AD62">
      <w:start w:val="1"/>
      <w:numFmt w:val="bullet"/>
      <w:lvlText w:val="o"/>
      <w:lvlJc w:val="left"/>
      <w:pPr>
        <w:ind w:left="510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01FEC75C">
      <w:start w:val="1"/>
      <w:numFmt w:val="bullet"/>
      <w:lvlText w:val="▪"/>
      <w:lvlJc w:val="left"/>
      <w:pPr>
        <w:ind w:left="582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A91"/>
    <w:rsid w:val="00153021"/>
    <w:rsid w:val="00236A91"/>
    <w:rsid w:val="003B2E5C"/>
    <w:rsid w:val="005850E5"/>
    <w:rsid w:val="005A4C98"/>
    <w:rsid w:val="005C411B"/>
    <w:rsid w:val="006032D9"/>
    <w:rsid w:val="009B6EC7"/>
    <w:rsid w:val="00A645D2"/>
    <w:rsid w:val="00CD045E"/>
    <w:rsid w:val="00FD3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A52097"/>
  <w15:docId w15:val="{724F0FE0-D638-4BB0-AB64-C68F7579C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518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1825</Words>
  <Characters>10406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G:\Eworking\RET\RRG\HRS BOTT\PMI Manual\PMI Manual 2013 - 2014\Assignment exercises development\Assignment Exercises-2014-Final.doc</vt:lpstr>
    </vt:vector>
  </TitlesOfParts>
  <Company/>
  <LinksUpToDate>false</LinksUpToDate>
  <CharactersWithSpaces>12207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G:\Eworking\RET\RRG\HRS BOTT\PMI Manual\PMI Manual 2013 - 2014\Assignment exercises development\Assignment Exercises-2014-Final.doc</dc:title>
  <dc:subject/>
  <dc:creator>Mercer Human Resource Consulting Limited</dc:creator>
  <cp:keywords/>
  <cp:lastModifiedBy>Mohamed Alim Uddin</cp:lastModifiedBy>
  <cp:revision>4</cp:revision>
  <dcterms:created xsi:type="dcterms:W3CDTF">2021-12-02T12:46:00Z</dcterms:created>
  <dcterms:modified xsi:type="dcterms:W3CDTF">2021-12-06T11:54:00Z</dcterms:modified>
</cp:coreProperties>
</file>