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8487" w14:textId="7F95BA6E" w:rsidR="00745CDE" w:rsidRDefault="00745CDE" w:rsidP="00745CDE">
      <w:pPr>
        <w:spacing w:after="0"/>
        <w:jc w:val="right"/>
        <w:rPr>
          <w:rFonts w:asciiTheme="minorHAnsi" w:eastAsiaTheme="minorHAnsi" w:hAnsiTheme="minorHAnsi" w:cstheme="minorBidi"/>
          <w:b/>
          <w:bCs/>
          <w:color w:val="auto"/>
          <w:sz w:val="22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346F04E" wp14:editId="300309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1151FE9F" w14:textId="77777777" w:rsidR="00745CDE" w:rsidRDefault="00745CDE" w:rsidP="00745CD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11A1E07F" w14:textId="77777777" w:rsidR="00745CDE" w:rsidRDefault="00745CDE" w:rsidP="00745CD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0A2E2D99" w14:textId="77777777" w:rsidR="00745CDE" w:rsidRDefault="00745CDE" w:rsidP="00745CD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289808AC" w14:textId="77777777" w:rsidR="00745CDE" w:rsidRDefault="00745CDE" w:rsidP="00745CD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6B9169E6" w14:textId="77777777" w:rsidR="00745CDE" w:rsidRDefault="00745CDE" w:rsidP="00745CD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551585C4" w14:textId="0887FB36" w:rsidR="00E02B52" w:rsidRDefault="00E02B52">
      <w:pPr>
        <w:spacing w:after="53" w:line="259" w:lineRule="auto"/>
        <w:ind w:left="3344" w:right="-643" w:firstLine="0"/>
      </w:pPr>
    </w:p>
    <w:p w14:paraId="35B9A491" w14:textId="77777777" w:rsidR="00E02B52" w:rsidRDefault="00D85C07">
      <w:pPr>
        <w:spacing w:after="17" w:line="259" w:lineRule="auto"/>
        <w:ind w:left="0" w:right="3" w:firstLine="0"/>
        <w:jc w:val="right"/>
      </w:pPr>
      <w:r>
        <w:t xml:space="preserve"> </w:t>
      </w:r>
    </w:p>
    <w:p w14:paraId="2DEB2BE3" w14:textId="77777777" w:rsidR="00E02B52" w:rsidRDefault="00D85C07">
      <w:pPr>
        <w:spacing w:after="213" w:line="259" w:lineRule="auto"/>
        <w:ind w:left="0" w:right="3" w:firstLine="0"/>
        <w:jc w:val="right"/>
      </w:pPr>
      <w:r>
        <w:t xml:space="preserve"> </w:t>
      </w:r>
    </w:p>
    <w:p w14:paraId="31FF7BCE" w14:textId="77777777" w:rsidR="00E02B52" w:rsidRDefault="00D85C07">
      <w:pPr>
        <w:spacing w:after="0" w:line="259" w:lineRule="auto"/>
        <w:ind w:left="694" w:firstLine="0"/>
      </w:pPr>
      <w:r>
        <w:rPr>
          <w:sz w:val="40"/>
        </w:rPr>
        <w:t xml:space="preserve">Taxation, Retail Investment and Pensions </w:t>
      </w:r>
    </w:p>
    <w:p w14:paraId="313D6D98" w14:textId="77777777" w:rsidR="00E02B52" w:rsidRDefault="00D85C07">
      <w:pPr>
        <w:spacing w:after="129" w:line="259" w:lineRule="auto"/>
        <w:ind w:left="0" w:right="3" w:firstLine="0"/>
        <w:jc w:val="center"/>
      </w:pPr>
      <w:r>
        <w:rPr>
          <w:sz w:val="20"/>
        </w:rPr>
        <w:t xml:space="preserve"> </w:t>
      </w:r>
    </w:p>
    <w:p w14:paraId="1CA23F4E" w14:textId="77777777" w:rsidR="00E02B52" w:rsidRDefault="00D85C07">
      <w:pPr>
        <w:spacing w:after="0" w:line="259" w:lineRule="auto"/>
        <w:ind w:left="0" w:right="58" w:firstLine="0"/>
        <w:jc w:val="center"/>
      </w:pPr>
      <w:r>
        <w:rPr>
          <w:sz w:val="32"/>
        </w:rPr>
        <w:t xml:space="preserve">Assignment 2 Notes </w:t>
      </w:r>
    </w:p>
    <w:p w14:paraId="17635A12" w14:textId="77777777" w:rsidR="00E02B52" w:rsidRDefault="00D85C07">
      <w:pPr>
        <w:spacing w:after="0" w:line="259" w:lineRule="auto"/>
        <w:ind w:left="0" w:right="58" w:firstLine="0"/>
        <w:jc w:val="center"/>
      </w:pPr>
      <w:r>
        <w:rPr>
          <w:i/>
        </w:rPr>
        <w:t xml:space="preserve">(Part 1 – The UK Pension System Chapters 7-13) </w:t>
      </w:r>
    </w:p>
    <w:p w14:paraId="598329FF" w14:textId="77777777" w:rsidR="00E02B52" w:rsidRDefault="00D85C07">
      <w:pPr>
        <w:spacing w:after="5" w:line="259" w:lineRule="auto"/>
        <w:ind w:left="0" w:right="3" w:firstLine="0"/>
        <w:jc w:val="right"/>
      </w:pPr>
      <w:r>
        <w:t xml:space="preserve"> </w:t>
      </w:r>
    </w:p>
    <w:p w14:paraId="17EF0417" w14:textId="77777777" w:rsidR="00E02B52" w:rsidRDefault="00D85C07">
      <w:pPr>
        <w:spacing w:after="27" w:line="259" w:lineRule="auto"/>
        <w:ind w:left="0" w:right="85" w:firstLine="0"/>
        <w:jc w:val="center"/>
      </w:pPr>
      <w:r>
        <w:rPr>
          <w:i/>
          <w:sz w:val="18"/>
        </w:rPr>
        <w:t xml:space="preserve">Recommended Time: 3 Hours </w:t>
      </w:r>
    </w:p>
    <w:p w14:paraId="477CA1C6" w14:textId="77777777" w:rsidR="00E02B52" w:rsidRDefault="00D85C07">
      <w:pPr>
        <w:spacing w:after="14" w:line="259" w:lineRule="auto"/>
        <w:ind w:left="0" w:right="6" w:firstLine="0"/>
        <w:jc w:val="center"/>
      </w:pPr>
      <w:r>
        <w:t xml:space="preserve"> </w:t>
      </w:r>
    </w:p>
    <w:p w14:paraId="13570458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0C4E6E87" w14:textId="77777777" w:rsidR="00E02B52" w:rsidRDefault="00D85C07">
      <w:pPr>
        <w:spacing w:after="17" w:line="259" w:lineRule="auto"/>
        <w:ind w:left="0" w:right="850" w:firstLine="0"/>
        <w:jc w:val="right"/>
      </w:pPr>
      <w:r>
        <w:t xml:space="preserve"> </w:t>
      </w:r>
    </w:p>
    <w:p w14:paraId="37F2DA41" w14:textId="77777777" w:rsidR="00E02B52" w:rsidRDefault="00D85C07">
      <w:pPr>
        <w:spacing w:after="14" w:line="259" w:lineRule="auto"/>
        <w:ind w:left="0" w:right="850" w:firstLine="0"/>
        <w:jc w:val="right"/>
      </w:pPr>
      <w:r>
        <w:t xml:space="preserve"> </w:t>
      </w:r>
    </w:p>
    <w:p w14:paraId="7AABC5B4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Write a short note on tax charges on Unauthorised Payments </w:t>
      </w:r>
    </w:p>
    <w:p w14:paraId="2ACC7F48" w14:textId="77777777" w:rsidR="00E02B52" w:rsidRDefault="00D85C07">
      <w:pPr>
        <w:spacing w:after="26"/>
        <w:ind w:left="-15" w:firstLine="8735"/>
        <w:jc w:val="both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10 Marks </w:t>
      </w:r>
    </w:p>
    <w:p w14:paraId="023BAE6C" w14:textId="77777777" w:rsidR="00E02B52" w:rsidRDefault="00D85C07">
      <w:pPr>
        <w:ind w:left="715" w:right="21"/>
      </w:pPr>
      <w:r>
        <w:t xml:space="preserve">Answer should cover: </w:t>
      </w:r>
    </w:p>
    <w:p w14:paraId="469F20BA" w14:textId="77777777" w:rsidR="00E02B52" w:rsidRDefault="00D85C07">
      <w:pPr>
        <w:spacing w:after="0" w:line="259" w:lineRule="auto"/>
        <w:ind w:left="708" w:firstLine="0"/>
      </w:pPr>
      <w:r>
        <w:t xml:space="preserve"> </w:t>
      </w:r>
    </w:p>
    <w:p w14:paraId="61B761F4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Brief description of unauthorised payments </w:t>
      </w:r>
    </w:p>
    <w:p w14:paraId="5335AB13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tax charges payable by the Scheme Administrator and/or the member. </w:t>
      </w:r>
    </w:p>
    <w:p w14:paraId="4CF0E526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up to four tax charges: </w:t>
      </w:r>
    </w:p>
    <w:p w14:paraId="5093B633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Unauthorised Payments Charge – a tax charge at a rate of 40%, based on the value of the unauthorised </w:t>
      </w:r>
      <w:proofErr w:type="gramStart"/>
      <w:r>
        <w:t>payment;</w:t>
      </w:r>
      <w:proofErr w:type="gramEnd"/>
      <w:r>
        <w:t xml:space="preserve"> </w:t>
      </w:r>
    </w:p>
    <w:p w14:paraId="4DC1A2BC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Unauthorised Payments Surcharge – where 25% or more of the value of a member’s benefits is paid out in the form of an unauthorised payment an additional tax charge at a rate of 15% will be due, based on the value of the unauthorised </w:t>
      </w:r>
      <w:proofErr w:type="gramStart"/>
      <w:r>
        <w:t>payment;</w:t>
      </w:r>
      <w:proofErr w:type="gramEnd"/>
      <w:r>
        <w:t xml:space="preserve"> </w:t>
      </w:r>
    </w:p>
    <w:p w14:paraId="188CE8D5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Scheme Sanction Charge – a tax charge on the Scheme Administrator. The scheme sanction charge is due on most unauthorised payments - exceptions - tax rate is normally 15% of the value of the payment, but this increases to 40% if HMRC have been unable to recover the unauthorised payments charge from the </w:t>
      </w:r>
      <w:proofErr w:type="gramStart"/>
      <w:r>
        <w:t>recipient;</w:t>
      </w:r>
      <w:proofErr w:type="gramEnd"/>
      <w:r>
        <w:t xml:space="preserve"> </w:t>
      </w:r>
    </w:p>
    <w:p w14:paraId="70CCE162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a Deregistration Charge (rare) – if a scheme pays out more than 25% of its assets in the form of unauthorised payments in any year then it may have its registration withdrawn. In this case a deregistration charge will be applied equal to 40% of the value of the scheme’s assets. </w:t>
      </w:r>
    </w:p>
    <w:p w14:paraId="7EEF5AAB" w14:textId="77777777" w:rsidR="00E02B52" w:rsidRDefault="00D85C07">
      <w:pPr>
        <w:spacing w:after="0" w:line="259" w:lineRule="auto"/>
        <w:ind w:left="708" w:firstLine="0"/>
      </w:pPr>
      <w:r>
        <w:t xml:space="preserve"> </w:t>
      </w:r>
    </w:p>
    <w:p w14:paraId="3F764BE1" w14:textId="77777777" w:rsidR="00E02B52" w:rsidRDefault="00D85C07">
      <w:pPr>
        <w:spacing w:after="0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849D706" w14:textId="1DAB435C" w:rsidR="00E02B52" w:rsidRDefault="00D85C07">
      <w:pPr>
        <w:ind w:left="715" w:right="21"/>
      </w:pPr>
      <w:r>
        <w:t>Relevant section of the manual is Part 1 Chapter 7.5.</w:t>
      </w:r>
      <w:r w:rsidR="008A40D4">
        <w:t>2</w:t>
      </w:r>
    </w:p>
    <w:p w14:paraId="03CAC452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14DA27AD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1030DFEF" w14:textId="3A96B542" w:rsidR="00E02B52" w:rsidRDefault="00D85C07">
      <w:pPr>
        <w:spacing w:after="17" w:line="259" w:lineRule="auto"/>
        <w:ind w:left="360" w:firstLine="0"/>
        <w:rPr>
          <w:b/>
        </w:rPr>
      </w:pPr>
      <w:r>
        <w:rPr>
          <w:b/>
        </w:rPr>
        <w:t xml:space="preserve"> </w:t>
      </w:r>
    </w:p>
    <w:p w14:paraId="42B4736D" w14:textId="1FBCFD42" w:rsidR="00745CDE" w:rsidRDefault="00745CDE">
      <w:pPr>
        <w:spacing w:after="17" w:line="259" w:lineRule="auto"/>
        <w:ind w:left="360" w:firstLine="0"/>
        <w:rPr>
          <w:b/>
        </w:rPr>
      </w:pPr>
    </w:p>
    <w:p w14:paraId="304C8C98" w14:textId="03BA5EDE" w:rsidR="00745CDE" w:rsidRDefault="00745CDE">
      <w:pPr>
        <w:spacing w:after="17" w:line="259" w:lineRule="auto"/>
        <w:ind w:left="360" w:firstLine="0"/>
        <w:rPr>
          <w:b/>
        </w:rPr>
      </w:pPr>
    </w:p>
    <w:p w14:paraId="1FD60E3E" w14:textId="71ED1EB6" w:rsidR="00745CDE" w:rsidRDefault="00745CDE">
      <w:pPr>
        <w:spacing w:after="17" w:line="259" w:lineRule="auto"/>
        <w:ind w:left="360" w:firstLine="0"/>
        <w:rPr>
          <w:b/>
        </w:rPr>
      </w:pPr>
    </w:p>
    <w:p w14:paraId="30C0232E" w14:textId="56126750" w:rsidR="00745CDE" w:rsidRDefault="00745CDE">
      <w:pPr>
        <w:spacing w:after="17" w:line="259" w:lineRule="auto"/>
        <w:ind w:left="360" w:firstLine="0"/>
        <w:rPr>
          <w:b/>
        </w:rPr>
      </w:pPr>
    </w:p>
    <w:p w14:paraId="1B124C78" w14:textId="280C5A5B" w:rsidR="00745CDE" w:rsidRDefault="00745CDE">
      <w:pPr>
        <w:spacing w:after="17" w:line="259" w:lineRule="auto"/>
        <w:ind w:left="360" w:firstLine="0"/>
        <w:rPr>
          <w:b/>
        </w:rPr>
      </w:pPr>
    </w:p>
    <w:p w14:paraId="7CF328D3" w14:textId="77777777" w:rsidR="00745CDE" w:rsidRDefault="00745CDE">
      <w:pPr>
        <w:spacing w:after="17" w:line="259" w:lineRule="auto"/>
        <w:ind w:left="360" w:firstLine="0"/>
      </w:pPr>
    </w:p>
    <w:p w14:paraId="3E0B7D43" w14:textId="77777777" w:rsidR="00E02B52" w:rsidRDefault="00D85C07">
      <w:pPr>
        <w:spacing w:after="14" w:line="259" w:lineRule="auto"/>
        <w:ind w:left="360" w:firstLine="0"/>
      </w:pPr>
      <w:r>
        <w:rPr>
          <w:b/>
        </w:rPr>
        <w:t xml:space="preserve"> </w:t>
      </w:r>
    </w:p>
    <w:p w14:paraId="59D137F9" w14:textId="77777777" w:rsidR="00E02B52" w:rsidRDefault="00D85C07">
      <w:pPr>
        <w:spacing w:after="0" w:line="240" w:lineRule="auto"/>
        <w:ind w:left="0" w:right="5891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A5D33FB" w14:textId="1E8EC8EA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lastRenderedPageBreak/>
        <w:t xml:space="preserve">Outline the Statutory Right </w:t>
      </w:r>
      <w:r w:rsidR="008A40D4">
        <w:rPr>
          <w:b/>
        </w:rPr>
        <w:t>to</w:t>
      </w:r>
      <w:r>
        <w:rPr>
          <w:b/>
        </w:rPr>
        <w:t xml:space="preserve"> Transfer. </w:t>
      </w:r>
    </w:p>
    <w:p w14:paraId="74A00CEE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5 marks </w:t>
      </w:r>
    </w:p>
    <w:p w14:paraId="3B1D041E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6333BDE6" w14:textId="77777777" w:rsidR="00E02B52" w:rsidRDefault="00D85C07">
      <w:pPr>
        <w:ind w:left="437" w:right="21"/>
      </w:pPr>
      <w:r>
        <w:t xml:space="preserve">Answer should cover: </w:t>
      </w:r>
    </w:p>
    <w:p w14:paraId="530919F0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34EFEB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No statutory right to transfer rights earned before 6 April 1988 if member leaves pensionable service without leaving employment </w:t>
      </w:r>
    </w:p>
    <w:p w14:paraId="4CE4DB25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DB leavers with at least one year to NRD have statutory right to transfer the Cash Equivalent Transfer Value to another suitable pension arrangement </w:t>
      </w:r>
    </w:p>
    <w:p w14:paraId="02B7ECF1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From 6 April 2015, trustees or providers cannot make a transfer payment relating to DB benefits of £30,000 or more to a DC arrangement unless the member has first taken appropriate financial advice </w:t>
      </w:r>
    </w:p>
    <w:p w14:paraId="65098C80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Members with DC or other flexible benefits have a statutory right to a transfer right up to point benefits are taken. </w:t>
      </w:r>
    </w:p>
    <w:p w14:paraId="3A5FF820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If members have more than one benefit </w:t>
      </w:r>
      <w:proofErr w:type="gramStart"/>
      <w:r>
        <w:rPr>
          <w:color w:val="231F20"/>
        </w:rPr>
        <w:t>type</w:t>
      </w:r>
      <w:proofErr w:type="gramEnd"/>
      <w:r>
        <w:rPr>
          <w:color w:val="231F20"/>
        </w:rPr>
        <w:t xml:space="preserve"> they have a separate right to transfer the benefits from the different categories </w:t>
      </w:r>
    </w:p>
    <w:p w14:paraId="0EBEA424" w14:textId="77777777" w:rsidR="00E02B52" w:rsidRDefault="00D85C07">
      <w:pPr>
        <w:spacing w:after="0" w:line="259" w:lineRule="auto"/>
        <w:ind w:left="427" w:firstLine="0"/>
      </w:pPr>
      <w:r>
        <w:t xml:space="preserve"> </w:t>
      </w:r>
    </w:p>
    <w:p w14:paraId="42ABBB9D" w14:textId="43F01682" w:rsidR="00E02B52" w:rsidRDefault="00D85C07">
      <w:pPr>
        <w:ind w:left="437" w:right="21"/>
      </w:pPr>
      <w:r>
        <w:t>Relevant section of the manual is Part 1 Chapter 10.2</w:t>
      </w:r>
      <w:r w:rsidR="00CA2014">
        <w:t>.1</w:t>
      </w:r>
    </w:p>
    <w:p w14:paraId="51495B43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5 marks </w:t>
      </w:r>
    </w:p>
    <w:p w14:paraId="063F026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A4B8321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F269C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57D184A9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Write a short note on earmarking orders. </w:t>
      </w:r>
    </w:p>
    <w:p w14:paraId="1BDB213C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4096CC7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42EF0FB" w14:textId="77777777" w:rsidR="00E02B52" w:rsidRDefault="00D85C07">
      <w:pPr>
        <w:tabs>
          <w:tab w:val="center" w:pos="859"/>
          <w:tab w:val="center" w:pos="1579"/>
          <w:tab w:val="center" w:pos="2299"/>
          <w:tab w:val="center" w:pos="3020"/>
          <w:tab w:val="center" w:pos="3740"/>
          <w:tab w:val="center" w:pos="4460"/>
          <w:tab w:val="center" w:pos="5180"/>
          <w:tab w:val="center" w:pos="5900"/>
          <w:tab w:val="center" w:pos="6620"/>
          <w:tab w:val="center" w:pos="7340"/>
          <w:tab w:val="right" w:pos="8824"/>
        </w:tabs>
        <w:spacing w:after="26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5 Marks </w:t>
      </w:r>
    </w:p>
    <w:p w14:paraId="47DFC1C6" w14:textId="77777777" w:rsidR="00E02B52" w:rsidRDefault="00D85C07">
      <w:pPr>
        <w:ind w:left="715" w:right="21"/>
      </w:pPr>
      <w:r>
        <w:t xml:space="preserve">Answer should cover: </w:t>
      </w:r>
    </w:p>
    <w:p w14:paraId="6E1994AE" w14:textId="77777777" w:rsidR="00E02B52" w:rsidRDefault="00D85C07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6669C98D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Pension attachment orders (generally referred to as “earmarking orders”) introduced under the Pensions Act 1995 </w:t>
      </w:r>
    </w:p>
    <w:p w14:paraId="03660742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Part or all of the member’s benefits to be paid to the ex-spouse when the member retires or dies. </w:t>
      </w:r>
    </w:p>
    <w:p w14:paraId="7C312B11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England and Wales - earmarking orders may be made against pension payments and lump sums </w:t>
      </w:r>
    </w:p>
    <w:p w14:paraId="054E1EF2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Scotland - only lump sum benefits can be earmarked. </w:t>
      </w:r>
    </w:p>
    <w:p w14:paraId="2105CF7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F46F0D" w14:textId="77777777" w:rsidR="00E02B52" w:rsidRDefault="00D85C07">
      <w:pPr>
        <w:ind w:left="715" w:right="21"/>
      </w:pPr>
      <w:r>
        <w:t xml:space="preserve">Relevant sections of the manual are Part 1 Chapter 13.1 and 13.2 </w:t>
      </w:r>
    </w:p>
    <w:p w14:paraId="1A5544BB" w14:textId="77777777" w:rsidR="00E02B52" w:rsidRDefault="00D85C07">
      <w:pPr>
        <w:tabs>
          <w:tab w:val="center" w:pos="2165"/>
          <w:tab w:val="center" w:pos="2770"/>
          <w:tab w:val="center" w:pos="3490"/>
          <w:tab w:val="center" w:pos="4210"/>
          <w:tab w:val="center" w:pos="4930"/>
          <w:tab w:val="center" w:pos="5651"/>
          <w:tab w:val="center" w:pos="6371"/>
          <w:tab w:val="center" w:pos="7091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5 marks </w:t>
      </w:r>
    </w:p>
    <w:p w14:paraId="543A68EA" w14:textId="77777777" w:rsidR="00E02B52" w:rsidRDefault="00D85C07">
      <w:pPr>
        <w:spacing w:after="0" w:line="259" w:lineRule="auto"/>
        <w:ind w:left="0" w:right="31" w:firstLine="0"/>
        <w:jc w:val="right"/>
      </w:pPr>
      <w:r>
        <w:rPr>
          <w:b/>
        </w:rPr>
        <w:t xml:space="preserve"> </w:t>
      </w:r>
    </w:p>
    <w:p w14:paraId="5FD7AE93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List the information you require from a transferring arrangement. </w:t>
      </w:r>
    </w:p>
    <w:p w14:paraId="705127DF" w14:textId="77777777" w:rsidR="00E02B52" w:rsidRDefault="00D85C07">
      <w:pPr>
        <w:spacing w:after="17" w:line="259" w:lineRule="auto"/>
        <w:ind w:left="360" w:firstLine="0"/>
      </w:pPr>
      <w:r>
        <w:t xml:space="preserve"> </w:t>
      </w:r>
    </w:p>
    <w:p w14:paraId="74739A7B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11FA6649" w14:textId="77777777" w:rsidR="00E02B52" w:rsidRDefault="00D85C07">
      <w:pPr>
        <w:ind w:left="715" w:right="21"/>
      </w:pPr>
      <w:r>
        <w:t xml:space="preserve">Answer should cover: </w:t>
      </w:r>
    </w:p>
    <w:p w14:paraId="4E32ACE6" w14:textId="77777777" w:rsidR="00E02B52" w:rsidRDefault="00D85C07">
      <w:pPr>
        <w:spacing w:after="27" w:line="259" w:lineRule="auto"/>
        <w:ind w:left="0" w:firstLine="0"/>
      </w:pPr>
      <w:r>
        <w:rPr>
          <w:b/>
        </w:rPr>
        <w:t xml:space="preserve"> </w:t>
      </w:r>
    </w:p>
    <w:p w14:paraId="091FDE1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member’s personal details </w:t>
      </w:r>
    </w:p>
    <w:p w14:paraId="26987087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name of the transferring scheme </w:t>
      </w:r>
    </w:p>
    <w:p w14:paraId="41219FC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type of arrangement </w:t>
      </w:r>
    </w:p>
    <w:p w14:paraId="41FC03CA" w14:textId="46CC2696" w:rsidR="00E02B52" w:rsidRDefault="00D85C07">
      <w:pPr>
        <w:numPr>
          <w:ilvl w:val="1"/>
          <w:numId w:val="12"/>
        </w:numPr>
        <w:ind w:right="21" w:hanging="425"/>
      </w:pPr>
      <w:r>
        <w:t xml:space="preserve">Whether any </w:t>
      </w:r>
      <w:r w:rsidR="00CA2014">
        <w:t>contracted-out</w:t>
      </w:r>
      <w:r>
        <w:t xml:space="preserve"> benefits are included in the transfer value </w:t>
      </w:r>
    </w:p>
    <w:p w14:paraId="7C2A3C70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Pensionable service details </w:t>
      </w:r>
    </w:p>
    <w:p w14:paraId="7B5D8FA4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Whether the transfer contains a transfer in from a previous scheme and, if so, details of </w:t>
      </w:r>
    </w:p>
    <w:p w14:paraId="4F5C89A1" w14:textId="77777777" w:rsidR="00E02B52" w:rsidRDefault="00D85C07">
      <w:pPr>
        <w:spacing w:after="36"/>
        <w:ind w:left="1143" w:right="21"/>
      </w:pPr>
      <w:r>
        <w:t xml:space="preserve">this </w:t>
      </w:r>
    </w:p>
    <w:p w14:paraId="2C18B37D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Value of member’s benefits and contributions included in transfer, including any AVCs </w:t>
      </w:r>
    </w:p>
    <w:p w14:paraId="4AAA9F9F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Current transfer value and whether any guarantee period applies </w:t>
      </w:r>
    </w:p>
    <w:p w14:paraId="0EBA6F1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Statement of equalisation for pensionable service post 17 May 1990 (if applicable) </w:t>
      </w:r>
    </w:p>
    <w:p w14:paraId="21451835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Confirmation of any court orders on the member’s benefits </w:t>
      </w:r>
    </w:p>
    <w:p w14:paraId="72BE61F9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0CC17A8E" w14:textId="77777777" w:rsidR="00E02B52" w:rsidRDefault="00D85C07">
      <w:pPr>
        <w:ind w:left="715" w:right="21"/>
      </w:pPr>
      <w:r>
        <w:t xml:space="preserve">Relevant section of the manual is Part 1 Chapter 10.1 </w:t>
      </w:r>
    </w:p>
    <w:p w14:paraId="5CE47261" w14:textId="77777777" w:rsidR="00CA2014" w:rsidRDefault="00D85C07">
      <w:pPr>
        <w:spacing w:after="22" w:line="255" w:lineRule="auto"/>
        <w:ind w:left="10" w:right="70"/>
        <w:jc w:val="right"/>
        <w:rPr>
          <w:b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 </w:t>
      </w:r>
    </w:p>
    <w:p w14:paraId="75875F0B" w14:textId="20F11CA4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ab/>
        <w:t xml:space="preserve"> </w:t>
      </w:r>
    </w:p>
    <w:p w14:paraId="65561172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lastRenderedPageBreak/>
        <w:t xml:space="preserve">Write short notes on “Benefit Crystallisation Events” (BCEs) and list five BCEs. </w:t>
      </w:r>
    </w:p>
    <w:p w14:paraId="31E82459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31C72D52" w14:textId="77777777" w:rsidR="00E02B52" w:rsidRDefault="00D85C07">
      <w:pPr>
        <w:spacing w:after="0" w:line="259" w:lineRule="auto"/>
        <w:ind w:left="427" w:firstLine="0"/>
      </w:pPr>
      <w:r>
        <w:t xml:space="preserve"> </w:t>
      </w:r>
    </w:p>
    <w:p w14:paraId="4122651A" w14:textId="77777777" w:rsidR="00E02B52" w:rsidRDefault="00D85C07">
      <w:pPr>
        <w:ind w:left="437" w:right="21"/>
      </w:pPr>
      <w:r>
        <w:t xml:space="preserve">Answer should cover: </w:t>
      </w:r>
    </w:p>
    <w:p w14:paraId="5F8D66C4" w14:textId="77777777" w:rsidR="00E02B52" w:rsidRDefault="00D85C07">
      <w:pPr>
        <w:spacing w:after="9" w:line="259" w:lineRule="auto"/>
        <w:ind w:left="0" w:firstLine="0"/>
      </w:pPr>
      <w:r>
        <w:rPr>
          <w:sz w:val="20"/>
        </w:rPr>
        <w:t xml:space="preserve"> </w:t>
      </w:r>
    </w:p>
    <w:p w14:paraId="4EAC629D" w14:textId="77777777" w:rsidR="00E02B52" w:rsidRDefault="00D85C07">
      <w:pPr>
        <w:spacing w:after="0" w:line="286" w:lineRule="auto"/>
        <w:ind w:left="427" w:right="60" w:firstLine="0"/>
        <w:jc w:val="both"/>
      </w:pPr>
      <w:r>
        <w:t xml:space="preserve">A BCE is an event in a registered scheme which triggers a test of the member’s benefits against the Lifetime Allowance. Each time a test is made, part of the person’s Lifetime Allowance is deemed to be used up.  If there is insufficient Lifetime Allowance remaining at the time of the test, then a Lifetime Allowance charge will become payable.  </w:t>
      </w:r>
    </w:p>
    <w:p w14:paraId="46501313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08F8AB47" w14:textId="77777777" w:rsidR="00E02B52" w:rsidRDefault="00D85C07">
      <w:pPr>
        <w:ind w:left="437" w:right="21"/>
      </w:pPr>
      <w:r>
        <w:t xml:space="preserve">There are 13 BCEs. These are: </w:t>
      </w:r>
    </w:p>
    <w:p w14:paraId="46CF816F" w14:textId="77777777" w:rsidR="00E02B52" w:rsidRDefault="00D85C07">
      <w:pPr>
        <w:spacing w:after="0" w:line="259" w:lineRule="auto"/>
        <w:ind w:left="0" w:right="3" w:firstLine="0"/>
        <w:jc w:val="right"/>
      </w:pPr>
      <w:r>
        <w:t xml:space="preserve"> </w:t>
      </w:r>
    </w:p>
    <w:tbl>
      <w:tblPr>
        <w:tblStyle w:val="TableGrid"/>
        <w:tblW w:w="8394" w:type="dxa"/>
        <w:tblInd w:w="427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91"/>
        <w:gridCol w:w="7403"/>
      </w:tblGrid>
      <w:tr w:rsidR="00E02B52" w14:paraId="6EEA2128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379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BCE1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FBC2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Assets being put into ‘drawdown’ or ‘income withdrawal’   </w:t>
            </w:r>
          </w:p>
        </w:tc>
      </w:tr>
      <w:tr w:rsidR="00E02B52" w14:paraId="371A7C00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A03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BCE2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0FF1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scheme pension coming into payment. </w:t>
            </w:r>
          </w:p>
        </w:tc>
      </w:tr>
      <w:tr w:rsidR="00E02B52" w14:paraId="74490F33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19D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BCE3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DB2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An increase to a pension in payment exceeding certain permitted annual indexation levels (broadly, the greater of 5% and the increase in the RPI). </w:t>
            </w:r>
          </w:p>
        </w:tc>
      </w:tr>
      <w:tr w:rsidR="00E02B52" w14:paraId="75DED00C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A0E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BCE4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EBE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Using the assets of a money purchase scheme to buy a ‘lifetime annuity’ for a member from an insurance company. </w:t>
            </w:r>
          </w:p>
        </w:tc>
      </w:tr>
      <w:tr w:rsidR="00E02B52" w14:paraId="3B11BDB1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5477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006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defined benefit arrangement reaching age 75 without having put a scheme pension into payment. </w:t>
            </w:r>
          </w:p>
        </w:tc>
      </w:tr>
      <w:tr w:rsidR="00E02B52" w14:paraId="7CB453FD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E47" w14:textId="77777777" w:rsidR="00E02B52" w:rsidRDefault="00D85C07">
            <w:pPr>
              <w:spacing w:after="0" w:line="259" w:lineRule="auto"/>
              <w:ind w:left="0" w:right="54" w:firstLine="0"/>
              <w:jc w:val="right"/>
            </w:pPr>
            <w:r>
              <w:t xml:space="preserve">BCE5A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AE8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money purchase arrangement reaching age 75 with funds still in drawdown. </w:t>
            </w:r>
          </w:p>
        </w:tc>
      </w:tr>
      <w:tr w:rsidR="00E02B52" w14:paraId="4544D5C5" w14:textId="77777777">
        <w:trPr>
          <w:trHeight w:val="7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BE7" w14:textId="77777777" w:rsidR="00E02B52" w:rsidRDefault="00D85C07">
            <w:pPr>
              <w:spacing w:after="0" w:line="259" w:lineRule="auto"/>
              <w:ind w:left="0" w:right="54" w:firstLine="0"/>
              <w:jc w:val="right"/>
            </w:pPr>
            <w:r>
              <w:t xml:space="preserve">BCE5B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4AA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money purchase arrangement reaching age 75 with funds that have not been put into drawdown and which have not been used to buy an annuity / scheme pension. </w:t>
            </w:r>
          </w:p>
        </w:tc>
      </w:tr>
      <w:tr w:rsidR="00E02B52" w14:paraId="7C5492BF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04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BCE5C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7B6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On or after 6 April 2015, uncrystallised funds are designated for drawdown by a dependent or nominee. </w:t>
            </w:r>
          </w:p>
        </w:tc>
      </w:tr>
      <w:tr w:rsidR="00E02B52" w14:paraId="2B58AF37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9D3A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BCE5D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D05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On or after 6 April 2015, a dependent or nominee becoming entitled to an annuity purchased using uncrystallised funds. </w:t>
            </w:r>
          </w:p>
        </w:tc>
      </w:tr>
      <w:tr w:rsidR="00E02B52" w14:paraId="7BF468F8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A5E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BCE6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48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The payment of a Pension Commencement Lump Sum, Uncrystallised Funds Pension Lump </w:t>
            </w:r>
            <w:proofErr w:type="gramStart"/>
            <w:r>
              <w:t>Sum</w:t>
            </w:r>
            <w:proofErr w:type="gramEnd"/>
            <w:r>
              <w:t xml:space="preserve"> or certain other lump sums.  </w:t>
            </w:r>
          </w:p>
        </w:tc>
      </w:tr>
      <w:tr w:rsidR="00E02B52" w14:paraId="7A9ED155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45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BCE7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BF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Payment of most lump sum benefits on the death of a member.  </w:t>
            </w:r>
          </w:p>
        </w:tc>
      </w:tr>
      <w:tr w:rsidR="00E02B52" w14:paraId="54F0B272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057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BCE8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A30" w14:textId="77777777" w:rsidR="00E02B52" w:rsidRDefault="00D85C07">
            <w:pPr>
              <w:spacing w:after="0" w:line="259" w:lineRule="auto"/>
              <w:ind w:left="0" w:right="34" w:firstLine="0"/>
            </w:pPr>
            <w:r>
              <w:t xml:space="preserve">The transfer of pension rights to a Qualifying Recognised Overseas Pension Scheme. </w:t>
            </w:r>
          </w:p>
        </w:tc>
      </w:tr>
      <w:tr w:rsidR="00E02B52" w14:paraId="0F56B3FB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A58B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BCE9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F14" w14:textId="77777777" w:rsidR="00E02B52" w:rsidRDefault="00D85C07">
            <w:pPr>
              <w:spacing w:after="0" w:line="259" w:lineRule="auto"/>
              <w:ind w:left="0" w:right="38" w:firstLine="0"/>
            </w:pPr>
            <w:r>
              <w:t xml:space="preserve">Miscellaneous events as set out in regulations, principally certain lump sum payments which do not fall under BCE6 for technical reasons. </w:t>
            </w:r>
          </w:p>
        </w:tc>
      </w:tr>
    </w:tbl>
    <w:p w14:paraId="0C436320" w14:textId="77777777" w:rsidR="00E02B52" w:rsidRDefault="00D85C07">
      <w:pPr>
        <w:spacing w:after="19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103E8C48" w14:textId="77777777" w:rsidR="00E02B52" w:rsidRDefault="00D85C07">
      <w:pPr>
        <w:spacing w:after="14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4A986ED6" w14:textId="77777777" w:rsidR="00E02B52" w:rsidRDefault="00D85C07">
      <w:pPr>
        <w:ind w:left="437" w:right="21"/>
      </w:pPr>
      <w:r>
        <w:t xml:space="preserve">Relevant section of the manual is Part 1 Chapter 7.3.1 </w:t>
      </w:r>
    </w:p>
    <w:p w14:paraId="54E0E8EC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53549620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6F10352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5BD3BF61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6561DEA7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6A79484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15F982B8" w14:textId="77777777" w:rsidR="00E02B52" w:rsidRDefault="00D85C07">
      <w:pPr>
        <w:spacing w:after="0" w:line="259" w:lineRule="auto"/>
        <w:ind w:left="0" w:right="31" w:firstLine="0"/>
        <w:jc w:val="right"/>
      </w:pPr>
      <w:r>
        <w:rPr>
          <w:b/>
        </w:rPr>
        <w:t xml:space="preserve"> </w:t>
      </w:r>
    </w:p>
    <w:p w14:paraId="20187C93" w14:textId="77777777" w:rsidR="00E02B52" w:rsidRDefault="00D85C07">
      <w:pPr>
        <w:spacing w:after="0" w:line="243" w:lineRule="auto"/>
        <w:ind w:left="0" w:right="5891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66FE1ED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List the options that may be available to a member when they retire at normal pension age.  </w:t>
      </w:r>
    </w:p>
    <w:p w14:paraId="6D3B28B9" w14:textId="77777777" w:rsidR="00E02B52" w:rsidRDefault="00D85C07">
      <w:pPr>
        <w:spacing w:after="0" w:line="259" w:lineRule="auto"/>
        <w:ind w:left="475" w:firstLine="0"/>
      </w:pPr>
      <w:r>
        <w:rPr>
          <w:b/>
        </w:rPr>
        <w:t xml:space="preserve"> </w:t>
      </w:r>
    </w:p>
    <w:p w14:paraId="11962311" w14:textId="77777777" w:rsidR="00E02B52" w:rsidRDefault="00D85C07">
      <w:pPr>
        <w:spacing w:after="0" w:line="259" w:lineRule="auto"/>
        <w:ind w:left="155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14:paraId="47CBFF58" w14:textId="77777777" w:rsidR="00E02B52" w:rsidRDefault="00D85C07">
      <w:pPr>
        <w:tabs>
          <w:tab w:val="center" w:pos="2059"/>
          <w:tab w:val="center" w:pos="2665"/>
          <w:tab w:val="center" w:pos="3385"/>
          <w:tab w:val="center" w:pos="4105"/>
          <w:tab w:val="center" w:pos="4825"/>
          <w:tab w:val="center" w:pos="5545"/>
          <w:tab w:val="center" w:pos="6265"/>
          <w:tab w:val="center" w:pos="698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</w:t>
      </w:r>
    </w:p>
    <w:p w14:paraId="780FA756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937C51" w14:textId="77777777" w:rsidR="00E02B52" w:rsidRDefault="00D85C07">
      <w:pPr>
        <w:ind w:left="715" w:right="21"/>
      </w:pPr>
      <w:r>
        <w:t xml:space="preserve">Answer should cover: </w:t>
      </w:r>
    </w:p>
    <w:p w14:paraId="3414DC7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5A54B7" w14:textId="77777777" w:rsidR="00E02B52" w:rsidRDefault="00D85C07">
      <w:pPr>
        <w:ind w:left="715" w:right="21"/>
      </w:pPr>
      <w:r>
        <w:t xml:space="preserve">Options available to the member depend on the type of benefits the member has and the scheme rules, options can include </w:t>
      </w:r>
    </w:p>
    <w:p w14:paraId="6770ACA5" w14:textId="77777777" w:rsidR="00E02B52" w:rsidRDefault="00D85C07">
      <w:pPr>
        <w:spacing w:after="0" w:line="259" w:lineRule="auto"/>
        <w:ind w:left="708" w:firstLine="0"/>
      </w:pPr>
      <w:r>
        <w:lastRenderedPageBreak/>
        <w:t xml:space="preserve"> </w:t>
      </w:r>
    </w:p>
    <w:p w14:paraId="689C30AC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Scheme Pension </w:t>
      </w:r>
    </w:p>
    <w:p w14:paraId="4B04248E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Lifetime Annuity </w:t>
      </w:r>
    </w:p>
    <w:p w14:paraId="78FB2EE7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Pension Commencement Lump Sum (PCLS) </w:t>
      </w:r>
    </w:p>
    <w:p w14:paraId="57435385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Trivial Commutation Lump Sum </w:t>
      </w:r>
    </w:p>
    <w:p w14:paraId="4CE7FC0B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Income Withdrawal </w:t>
      </w:r>
    </w:p>
    <w:p w14:paraId="7ABD0CF5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Short Term Annuities </w:t>
      </w:r>
    </w:p>
    <w:p w14:paraId="41A70079" w14:textId="77777777" w:rsidR="00E02B52" w:rsidRDefault="00D85C07">
      <w:pPr>
        <w:numPr>
          <w:ilvl w:val="1"/>
          <w:numId w:val="7"/>
        </w:numPr>
        <w:ind w:right="21" w:hanging="425"/>
      </w:pPr>
      <w:r>
        <w:t>Uncrystallised Funds Pension Lump Sum</w:t>
      </w:r>
      <w:r>
        <w:rPr>
          <w:b/>
        </w:rPr>
        <w:t xml:space="preserve"> </w:t>
      </w:r>
    </w:p>
    <w:p w14:paraId="3ECA0A5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FB39B1" w14:textId="77777777" w:rsidR="00E02B52" w:rsidRDefault="00D85C07">
      <w:pPr>
        <w:ind w:left="715" w:right="21"/>
      </w:pPr>
      <w:r>
        <w:t xml:space="preserve">Relevant section of the manual is Part 1 Chapter 11.3-11.7 </w:t>
      </w:r>
    </w:p>
    <w:p w14:paraId="2BE11AD6" w14:textId="77777777" w:rsidR="00E02B52" w:rsidRDefault="00D85C07">
      <w:pPr>
        <w:tabs>
          <w:tab w:val="center" w:pos="2059"/>
          <w:tab w:val="center" w:pos="2665"/>
          <w:tab w:val="center" w:pos="3385"/>
          <w:tab w:val="center" w:pos="4105"/>
          <w:tab w:val="center" w:pos="4825"/>
          <w:tab w:val="center" w:pos="5545"/>
          <w:tab w:val="center" w:pos="6265"/>
          <w:tab w:val="center" w:pos="698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</w:t>
      </w:r>
    </w:p>
    <w:p w14:paraId="75CF4DE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2CED29D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216A94CA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10DADD02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Outline the taxation changes introduced at A-Day and their impact on existing schemes. </w:t>
      </w:r>
    </w:p>
    <w:p w14:paraId="375D3E1D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0F24B4B5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E3532E3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29EDEB9C" w14:textId="77777777" w:rsidR="00E02B52" w:rsidRDefault="00D85C07">
      <w:pPr>
        <w:ind w:left="715" w:right="21"/>
      </w:pPr>
      <w:r>
        <w:t xml:space="preserve">Answer should cover: </w:t>
      </w:r>
    </w:p>
    <w:p w14:paraId="27747B8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AB43BFE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A-Day = 6 April 2006 </w:t>
      </w:r>
    </w:p>
    <w:p w14:paraId="2F6E5777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One single tax regime </w:t>
      </w:r>
    </w:p>
    <w:p w14:paraId="371E420E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No limit on pension savings – only on the amount of tax relief that can be received </w:t>
      </w:r>
    </w:p>
    <w:p w14:paraId="1ED8D40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Previous limits on contributions and benefits replaced by Annual Allowance and Lifetime Allowance </w:t>
      </w:r>
    </w:p>
    <w:p w14:paraId="7F4BBCB4" w14:textId="6445C660" w:rsidR="00E02B52" w:rsidRDefault="00D85C07">
      <w:pPr>
        <w:numPr>
          <w:ilvl w:val="1"/>
          <w:numId w:val="2"/>
        </w:numPr>
        <w:ind w:right="21" w:hanging="413"/>
      </w:pPr>
      <w:r>
        <w:t>Annual Allowance initially £215,000 - £40,000 from 20</w:t>
      </w:r>
      <w:r w:rsidR="00521D26">
        <w:t>20/21</w:t>
      </w:r>
      <w:r>
        <w:t xml:space="preserve"> </w:t>
      </w:r>
    </w:p>
    <w:p w14:paraId="17933842" w14:textId="650341FB" w:rsidR="00E02B52" w:rsidRDefault="00D85C07">
      <w:pPr>
        <w:numPr>
          <w:ilvl w:val="1"/>
          <w:numId w:val="2"/>
        </w:numPr>
        <w:ind w:right="21" w:hanging="413"/>
      </w:pPr>
      <w:r>
        <w:t>Lifetime Allowance initially £1.5m - £1</w:t>
      </w:r>
      <w:r w:rsidR="00521D26">
        <w:t>,073,100 from 2020/21</w:t>
      </w:r>
      <w:r>
        <w:t xml:space="preserve"> </w:t>
      </w:r>
    </w:p>
    <w:p w14:paraId="05E200F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Annual Allowance charge and Lifetime Allowance charge </w:t>
      </w:r>
    </w:p>
    <w:p w14:paraId="4A4CA88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Benefit Crystallisation Events (BCEs) </w:t>
      </w:r>
    </w:p>
    <w:p w14:paraId="79EAFD5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Earliest Age for retirement age 55 (some exceptions) with effect 6 April 2010 </w:t>
      </w:r>
    </w:p>
    <w:p w14:paraId="4706D850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Tax Free Cash sum of up to 25%  </w:t>
      </w:r>
    </w:p>
    <w:p w14:paraId="6CA554E5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Transitional Arrangements </w:t>
      </w:r>
    </w:p>
    <w:p w14:paraId="1DB6BB3F" w14:textId="77777777" w:rsidR="00E02B52" w:rsidRDefault="00D85C07">
      <w:pPr>
        <w:spacing w:after="0" w:line="259" w:lineRule="auto"/>
        <w:ind w:left="1133" w:firstLine="0"/>
      </w:pPr>
      <w:r>
        <w:t xml:space="preserve"> </w:t>
      </w:r>
    </w:p>
    <w:p w14:paraId="063A22A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7F500E12" w14:textId="77777777" w:rsidR="00E02B52" w:rsidRDefault="00D85C07">
      <w:pPr>
        <w:ind w:left="715" w:right="21"/>
      </w:pPr>
      <w:r>
        <w:t xml:space="preserve">Relevant sections of the manual are Part 1 Chapter 7.1, 7.3, 7.4 and Chapter 11.8 </w:t>
      </w:r>
    </w:p>
    <w:p w14:paraId="3D38CB9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46E72DDB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2DD707C5" w14:textId="77777777" w:rsidR="00E02B52" w:rsidRDefault="00D85C07">
      <w:pPr>
        <w:spacing w:after="0" w:line="278" w:lineRule="auto"/>
        <w:ind w:left="0" w:right="3" w:firstLine="0"/>
        <w:jc w:val="righ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14:paraId="2D51E8E9" w14:textId="77777777" w:rsidR="00E02B52" w:rsidRDefault="00D85C07">
      <w:pPr>
        <w:numPr>
          <w:ilvl w:val="0"/>
          <w:numId w:val="1"/>
        </w:numPr>
        <w:spacing w:after="0"/>
        <w:ind w:hanging="427"/>
        <w:jc w:val="both"/>
      </w:pPr>
      <w:r>
        <w:rPr>
          <w:b/>
        </w:rPr>
        <w:t xml:space="preserve">John Brown (aged 48) is leaving his company’s contributory defined benefit scheme after 6 </w:t>
      </w:r>
      <w:proofErr w:type="gramStart"/>
      <w:r>
        <w:rPr>
          <w:b/>
        </w:rPr>
        <w:t>months’</w:t>
      </w:r>
      <w:proofErr w:type="gramEnd"/>
      <w:r>
        <w:rPr>
          <w:b/>
        </w:rPr>
        <w:t xml:space="preserve"> of service. Describe the options that might be available to him and any conditions that would apply. </w:t>
      </w:r>
    </w:p>
    <w:p w14:paraId="3A60EC0A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334C1AB8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9A9CB94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1F3B239" w14:textId="77777777" w:rsidR="00E02B52" w:rsidRDefault="00D85C07">
      <w:pPr>
        <w:ind w:left="715" w:right="21"/>
      </w:pPr>
      <w:r>
        <w:t xml:space="preserve">Answer should cover: </w:t>
      </w:r>
    </w:p>
    <w:p w14:paraId="0D091D29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1B06950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Statutory entitlement to a refund </w:t>
      </w:r>
    </w:p>
    <w:p w14:paraId="57C4FD79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May have interest added </w:t>
      </w:r>
    </w:p>
    <w:p w14:paraId="3B3CFBE0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May have deducted the Certified Amount (employee’s share of the Contributions Equivalent Premium (if the scheme was contracted-out prior to 6 April 2016) </w:t>
      </w:r>
    </w:p>
    <w:p w14:paraId="2D978FF3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Tax is deducted </w:t>
      </w:r>
    </w:p>
    <w:p w14:paraId="2A7A335F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Member may be entitled to vested benefits / a preserved pension etc. under the scheme rules </w:t>
      </w:r>
    </w:p>
    <w:p w14:paraId="2D11920A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Statutory entitlement to a cash transfer sum. </w:t>
      </w:r>
    </w:p>
    <w:p w14:paraId="161C4AE6" w14:textId="77777777" w:rsidR="00E02B52" w:rsidRDefault="00D85C07">
      <w:pPr>
        <w:numPr>
          <w:ilvl w:val="3"/>
          <w:numId w:val="3"/>
        </w:numPr>
        <w:ind w:right="21" w:hanging="360"/>
      </w:pPr>
      <w:r>
        <w:t xml:space="preserve">Trustees may leave open or  </w:t>
      </w:r>
    </w:p>
    <w:p w14:paraId="5672150C" w14:textId="77777777" w:rsidR="00E02B52" w:rsidRDefault="00D85C07">
      <w:pPr>
        <w:numPr>
          <w:ilvl w:val="3"/>
          <w:numId w:val="3"/>
        </w:numPr>
        <w:ind w:right="21" w:hanging="360"/>
      </w:pPr>
      <w:r>
        <w:t xml:space="preserve">after a reasonable period (usually 3 months) option may lapse and refund of contributions paid. </w:t>
      </w:r>
    </w:p>
    <w:p w14:paraId="719E4FBD" w14:textId="77777777" w:rsidR="00E02B52" w:rsidRDefault="00D85C07">
      <w:pPr>
        <w:numPr>
          <w:ilvl w:val="1"/>
          <w:numId w:val="5"/>
        </w:numPr>
        <w:ind w:right="21" w:hanging="413"/>
      </w:pPr>
      <w:r>
        <w:t xml:space="preserve">If have a deferred pension option member entitled to a Cash Equivalent Transfer Value </w:t>
      </w:r>
    </w:p>
    <w:p w14:paraId="6165F274" w14:textId="77777777" w:rsidR="00E02B52" w:rsidRDefault="00D85C07">
      <w:pPr>
        <w:numPr>
          <w:ilvl w:val="1"/>
          <w:numId w:val="5"/>
        </w:numPr>
        <w:ind w:right="21" w:hanging="413"/>
      </w:pPr>
      <w:r>
        <w:t xml:space="preserve">If have transfer in from a personal pension or have DC benefits from 1 October 2015 refund / cash transfer sum not available. </w:t>
      </w:r>
    </w:p>
    <w:p w14:paraId="1F134274" w14:textId="77777777" w:rsidR="00E02B52" w:rsidRDefault="00D85C07">
      <w:pPr>
        <w:spacing w:after="0" w:line="259" w:lineRule="auto"/>
        <w:ind w:left="360" w:firstLine="0"/>
      </w:pPr>
      <w:r>
        <w:lastRenderedPageBreak/>
        <w:t xml:space="preserve"> </w:t>
      </w:r>
    </w:p>
    <w:p w14:paraId="40E92EB6" w14:textId="77777777" w:rsidR="00E02B52" w:rsidRDefault="00D85C07">
      <w:pPr>
        <w:ind w:left="715" w:right="21"/>
      </w:pPr>
      <w:r>
        <w:t xml:space="preserve">Relevant section of the manual is Part 1 Chapter 9.3.3 </w:t>
      </w:r>
    </w:p>
    <w:p w14:paraId="4CB1DC6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E611E8D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4EDDFDD5" w14:textId="77777777" w:rsidR="00E02B52" w:rsidRDefault="00D85C07">
      <w:pPr>
        <w:spacing w:after="17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55FC2D3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C1E874" w14:textId="77777777" w:rsidR="00E02B52" w:rsidRDefault="00D85C07">
      <w:pPr>
        <w:numPr>
          <w:ilvl w:val="0"/>
          <w:numId w:val="1"/>
        </w:numPr>
        <w:spacing w:after="0"/>
        <w:ind w:hanging="427"/>
        <w:jc w:val="both"/>
      </w:pPr>
      <w:r>
        <w:rPr>
          <w:b/>
        </w:rPr>
        <w:t xml:space="preserve">A US based company with global operations is reviewing its benefit programme. You have been asked to provide certain information commonly provided in the UK. Give a description of the benefits that might typically be received in connection with the death of a member of a registered pension scheme differentiating between those arising from a Defined Contribution (DC) scheme and those from a Defined Benefit (DB) scheme. </w:t>
      </w:r>
    </w:p>
    <w:p w14:paraId="6AFF6EC6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64498A74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74516CF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72CE1DFD" w14:textId="77777777" w:rsidR="00E02B52" w:rsidRDefault="00D85C07">
      <w:pPr>
        <w:ind w:left="715" w:right="21"/>
      </w:pPr>
      <w:r>
        <w:t xml:space="preserve">Answer should cover: </w:t>
      </w:r>
    </w:p>
    <w:p w14:paraId="6861603A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AB591DE" w14:textId="77777777" w:rsidR="00E02B52" w:rsidRDefault="00D85C07">
      <w:pPr>
        <w:ind w:left="715" w:right="21"/>
      </w:pPr>
      <w:r>
        <w:t xml:space="preserve">Death in service: </w:t>
      </w:r>
    </w:p>
    <w:p w14:paraId="22A9FB12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DB &amp; DC - Multiple of salary as a lump sum </w:t>
      </w:r>
    </w:p>
    <w:p w14:paraId="01C33694" w14:textId="77777777" w:rsidR="006B3C97" w:rsidRDefault="00D85C07">
      <w:pPr>
        <w:numPr>
          <w:ilvl w:val="1"/>
          <w:numId w:val="6"/>
        </w:numPr>
        <w:spacing w:after="31"/>
        <w:ind w:right="1132" w:hanging="425"/>
      </w:pPr>
      <w:r>
        <w:t xml:space="preserve">Return of fund (including any Additional Voluntary Contributions (AVCs)) (DC)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>Used to provide a lump sum and/or</w:t>
      </w:r>
    </w:p>
    <w:p w14:paraId="6E119A1C" w14:textId="39117BF2" w:rsidR="00E02B52" w:rsidRDefault="00D85C07" w:rsidP="006B3C97">
      <w:pPr>
        <w:spacing w:after="31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dependants.  </w:t>
      </w:r>
    </w:p>
    <w:p w14:paraId="34520355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Dependant’s Pension in accordance with scheme rules </w:t>
      </w:r>
    </w:p>
    <w:p w14:paraId="4956A1BB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1B875236" w14:textId="77777777" w:rsidR="00E02B52" w:rsidRDefault="00D85C07">
      <w:pPr>
        <w:ind w:left="715" w:right="21"/>
      </w:pPr>
      <w:r>
        <w:t xml:space="preserve">Death in Deferment: </w:t>
      </w:r>
    </w:p>
    <w:p w14:paraId="40AA1E5E" w14:textId="77777777" w:rsidR="006B3C97" w:rsidRDefault="00D85C07">
      <w:pPr>
        <w:numPr>
          <w:ilvl w:val="1"/>
          <w:numId w:val="6"/>
        </w:numPr>
        <w:ind w:right="1132" w:hanging="425"/>
      </w:pPr>
      <w:r>
        <w:t xml:space="preserve">Return of fund (including any AVCs) (DC) </w:t>
      </w:r>
    </w:p>
    <w:p w14:paraId="335B1A84" w14:textId="77777777" w:rsidR="006B3C97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Used to provide a lump sum and/or </w:t>
      </w:r>
    </w:p>
    <w:p w14:paraId="31699BD6" w14:textId="595BD72F" w:rsidR="00E02B52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dependants.  </w:t>
      </w:r>
    </w:p>
    <w:p w14:paraId="447214C9" w14:textId="77777777" w:rsidR="006B3C97" w:rsidRDefault="00D85C07" w:rsidP="006B3C97">
      <w:pPr>
        <w:spacing w:after="36"/>
        <w:ind w:left="1130" w:right="1132" w:firstLine="0"/>
      </w:pPr>
      <w:r>
        <w:t xml:space="preserve">Typical Lump Sum benefits (DB) </w:t>
      </w:r>
    </w:p>
    <w:p w14:paraId="3B8C3FC0" w14:textId="4914F7C5" w:rsidR="00E02B52" w:rsidRDefault="00D85C07" w:rsidP="006B3C97">
      <w:pPr>
        <w:spacing w:after="36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Return of member contributions (including any AVCs)  </w:t>
      </w:r>
    </w:p>
    <w:p w14:paraId="0E768EE1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Dependant’s Pension equal in accordance with scheme rules </w:t>
      </w:r>
    </w:p>
    <w:p w14:paraId="75541751" w14:textId="77777777" w:rsidR="00E02B52" w:rsidRDefault="00D85C07">
      <w:pPr>
        <w:spacing w:after="0" w:line="240" w:lineRule="auto"/>
        <w:ind w:left="0" w:right="5891" w:firstLine="0"/>
      </w:pPr>
      <w:r>
        <w:t xml:space="preserve">  </w:t>
      </w:r>
      <w:r>
        <w:tab/>
        <w:t xml:space="preserve"> </w:t>
      </w:r>
    </w:p>
    <w:p w14:paraId="360F6681" w14:textId="77777777" w:rsidR="00E02B52" w:rsidRDefault="00D85C07">
      <w:pPr>
        <w:ind w:left="715" w:right="21"/>
      </w:pPr>
      <w:r>
        <w:t xml:space="preserve">Death in Retirement: </w:t>
      </w:r>
    </w:p>
    <w:p w14:paraId="3DE10ABB" w14:textId="77777777" w:rsidR="006B3C97" w:rsidRDefault="00D85C07">
      <w:pPr>
        <w:numPr>
          <w:ilvl w:val="1"/>
          <w:numId w:val="6"/>
        </w:numPr>
        <w:ind w:right="1132" w:hanging="425"/>
      </w:pPr>
      <w:r>
        <w:t>Dependent on options selected on retirement and period since retirement (DC)</w:t>
      </w:r>
    </w:p>
    <w:p w14:paraId="39FC9CEE" w14:textId="7D2D3597" w:rsidR="006B3C97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a lump sum and/or </w:t>
      </w:r>
    </w:p>
    <w:p w14:paraId="07DC21E2" w14:textId="7D65806C" w:rsidR="00E02B52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dependents.  </w:t>
      </w:r>
    </w:p>
    <w:p w14:paraId="195FD0D2" w14:textId="77777777" w:rsidR="006B3C97" w:rsidRDefault="00D85C07" w:rsidP="006B3C97">
      <w:pPr>
        <w:spacing w:after="27"/>
        <w:ind w:left="1130" w:right="1132" w:firstLine="0"/>
      </w:pPr>
      <w:r>
        <w:t xml:space="preserve">Dependent on period since retirement (DB) </w:t>
      </w:r>
    </w:p>
    <w:p w14:paraId="230C855D" w14:textId="74B14954" w:rsidR="00E02B52" w:rsidRDefault="00D85C07" w:rsidP="006B3C97">
      <w:pPr>
        <w:spacing w:after="27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Lump Sum balance of </w:t>
      </w:r>
      <w:r w:rsidR="006B3C97">
        <w:t>5-year</w:t>
      </w:r>
      <w:r>
        <w:t xml:space="preserve"> guarantee and/or </w:t>
      </w:r>
    </w:p>
    <w:p w14:paraId="32650558" w14:textId="181F2077" w:rsidR="00E02B52" w:rsidRDefault="006B3C97">
      <w:pPr>
        <w:tabs>
          <w:tab w:val="center" w:pos="1497"/>
          <w:tab w:val="center" w:pos="5069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                  </w:t>
      </w:r>
      <w:r w:rsidR="00D85C07">
        <w:rPr>
          <w:rFonts w:ascii="Courier New" w:eastAsia="Courier New" w:hAnsi="Courier New" w:cs="Courier New"/>
        </w:rPr>
        <w:t>o</w:t>
      </w:r>
      <w:r w:rsidR="00D85C07">
        <w:t xml:space="preserve"> </w:t>
      </w:r>
      <w:r w:rsidR="00D85C07">
        <w:tab/>
        <w:t xml:space="preserve">Pension to deceased’s family or dependents in accordance with scheme rules  </w:t>
      </w:r>
    </w:p>
    <w:p w14:paraId="688AE28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33211B8D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182AC724" w14:textId="77777777" w:rsidR="00E02B52" w:rsidRDefault="00D85C07">
      <w:pPr>
        <w:ind w:left="370" w:right="21"/>
      </w:pPr>
      <w:r>
        <w:t xml:space="preserve">In a DB scheme, dependant’s pensions only payable if there is an eligible recipient in accordance with the rules of the scheme and often reduced if the dependent is more than a defined number of years younger than the member. </w:t>
      </w:r>
    </w:p>
    <w:p w14:paraId="3C267E8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2BD0E1B4" w14:textId="77777777" w:rsidR="00E02B52" w:rsidRDefault="00D85C07">
      <w:pPr>
        <w:ind w:left="715" w:right="21"/>
      </w:pPr>
      <w:r>
        <w:t xml:space="preserve">Relevant section of the manual is Part 1 Chapter 12 </w:t>
      </w:r>
    </w:p>
    <w:p w14:paraId="076F7602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A0EE65E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08A8947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46547DC9" w14:textId="77777777" w:rsidR="00E02B52" w:rsidRDefault="00D85C07">
      <w:pPr>
        <w:spacing w:after="17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26A58B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4DA565F" w14:textId="77777777" w:rsidR="00E02B52" w:rsidRDefault="00D85C07">
      <w:pPr>
        <w:spacing w:after="14" w:line="259" w:lineRule="auto"/>
        <w:ind w:left="0" w:right="850" w:firstLine="0"/>
        <w:jc w:val="right"/>
      </w:pPr>
      <w:r>
        <w:rPr>
          <w:b/>
        </w:rPr>
        <w:t xml:space="preserve"> </w:t>
      </w:r>
    </w:p>
    <w:p w14:paraId="373057F3" w14:textId="77777777" w:rsidR="00E02B52" w:rsidRDefault="00D85C07">
      <w:pPr>
        <w:spacing w:after="0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54AACC29" w14:textId="77777777" w:rsidR="00E02B52" w:rsidRDefault="00D85C07">
      <w:pPr>
        <w:spacing w:after="0" w:line="259" w:lineRule="auto"/>
        <w:ind w:left="0" w:right="3" w:firstLine="0"/>
        <w:jc w:val="right"/>
      </w:pPr>
      <w:r>
        <w:t xml:space="preserve"> </w:t>
      </w:r>
    </w:p>
    <w:sectPr w:rsidR="00E02B52">
      <w:footerReference w:type="even" r:id="rId8"/>
      <w:footerReference w:type="default" r:id="rId9"/>
      <w:footerReference w:type="first" r:id="rId10"/>
      <w:pgSz w:w="11906" w:h="16838"/>
      <w:pgMar w:top="611" w:right="1642" w:bottom="2010" w:left="1440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5797" w14:textId="77777777" w:rsidR="00A0358C" w:rsidRDefault="00A0358C">
      <w:pPr>
        <w:spacing w:after="0" w:line="240" w:lineRule="auto"/>
      </w:pPr>
      <w:r>
        <w:separator/>
      </w:r>
    </w:p>
  </w:endnote>
  <w:endnote w:type="continuationSeparator" w:id="0">
    <w:p w14:paraId="6C4E83DC" w14:textId="77777777" w:rsidR="00A0358C" w:rsidRDefault="00A0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DF5D" w14:textId="77777777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2018/19 Edition </w:t>
    </w:r>
  </w:p>
  <w:p w14:paraId="6628BE63" w14:textId="77777777" w:rsidR="00E02B52" w:rsidRDefault="00D85C07">
    <w:pPr>
      <w:spacing w:after="12" w:line="259" w:lineRule="auto"/>
      <w:ind w:left="0" w:firstLine="0"/>
    </w:pPr>
    <w:r>
      <w:rPr>
        <w:sz w:val="16"/>
      </w:rPr>
      <w:t xml:space="preserve">© The Pensions Management Institute 2019 </w:t>
    </w:r>
  </w:p>
  <w:p w14:paraId="441CC05E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433" w14:textId="183E8431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>20</w:t>
    </w:r>
    <w:r w:rsidR="009F3CC5">
      <w:rPr>
        <w:sz w:val="16"/>
      </w:rPr>
      <w:t>22</w:t>
    </w:r>
    <w:r>
      <w:rPr>
        <w:sz w:val="16"/>
      </w:rPr>
      <w:t xml:space="preserve"> Edition </w:t>
    </w:r>
  </w:p>
  <w:p w14:paraId="6A97E536" w14:textId="08A35621" w:rsidR="00E02B52" w:rsidRDefault="00D85C07">
    <w:pPr>
      <w:spacing w:after="12" w:line="259" w:lineRule="auto"/>
      <w:ind w:left="0" w:firstLine="0"/>
    </w:pPr>
    <w:r>
      <w:rPr>
        <w:sz w:val="16"/>
      </w:rPr>
      <w:t>© The Pensions Management Institute 20</w:t>
    </w:r>
    <w:r w:rsidR="009F3CC5">
      <w:rPr>
        <w:sz w:val="16"/>
      </w:rPr>
      <w:t>21</w:t>
    </w:r>
    <w:r>
      <w:rPr>
        <w:sz w:val="16"/>
      </w:rPr>
      <w:t xml:space="preserve"> </w:t>
    </w:r>
  </w:p>
  <w:p w14:paraId="60413CE7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F25" w14:textId="77777777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2018/19 Edition </w:t>
    </w:r>
  </w:p>
  <w:p w14:paraId="0907E777" w14:textId="77777777" w:rsidR="00E02B52" w:rsidRDefault="00D85C07">
    <w:pPr>
      <w:spacing w:after="12" w:line="259" w:lineRule="auto"/>
      <w:ind w:left="0" w:firstLine="0"/>
    </w:pPr>
    <w:r>
      <w:rPr>
        <w:sz w:val="16"/>
      </w:rPr>
      <w:t xml:space="preserve">© The Pensions Management Institute 2019 </w:t>
    </w:r>
  </w:p>
  <w:p w14:paraId="0F477C7A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E8F" w14:textId="77777777" w:rsidR="00A0358C" w:rsidRDefault="00A0358C">
      <w:pPr>
        <w:spacing w:after="0" w:line="240" w:lineRule="auto"/>
      </w:pPr>
      <w:r>
        <w:separator/>
      </w:r>
    </w:p>
  </w:footnote>
  <w:footnote w:type="continuationSeparator" w:id="0">
    <w:p w14:paraId="3B50D3EB" w14:textId="77777777" w:rsidR="00A0358C" w:rsidRDefault="00A0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1EE"/>
    <w:multiLevelType w:val="hybridMultilevel"/>
    <w:tmpl w:val="F0F6AB5A"/>
    <w:lvl w:ilvl="0" w:tplc="37D656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484A3E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988F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324CE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0066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C45C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2AA1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A63D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40E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05629"/>
    <w:multiLevelType w:val="hybridMultilevel"/>
    <w:tmpl w:val="73F4EA28"/>
    <w:lvl w:ilvl="0" w:tplc="882C6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982344">
      <w:start w:val="1"/>
      <w:numFmt w:val="bullet"/>
      <w:lvlRestart w:val="0"/>
      <w:lvlText w:val="•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4AB91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5897F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B85EF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08D54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2CEB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626DC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C22E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550A0"/>
    <w:multiLevelType w:val="hybridMultilevel"/>
    <w:tmpl w:val="9734537A"/>
    <w:lvl w:ilvl="0" w:tplc="09D808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3642972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36B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50B6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6AE1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C62DD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6E1F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083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9109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52EBF"/>
    <w:multiLevelType w:val="hybridMultilevel"/>
    <w:tmpl w:val="14F084D2"/>
    <w:lvl w:ilvl="0" w:tplc="D388B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766BB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7A344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30182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7ACC7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D4F86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D41D9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C0F06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FA05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56640"/>
    <w:multiLevelType w:val="hybridMultilevel"/>
    <w:tmpl w:val="DA6E4EA8"/>
    <w:lvl w:ilvl="0" w:tplc="FA02E86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2856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C2FE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E00A6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EA0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9E0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9A4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069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325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80599"/>
    <w:multiLevelType w:val="hybridMultilevel"/>
    <w:tmpl w:val="DEEECFD0"/>
    <w:lvl w:ilvl="0" w:tplc="07E89F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34363C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55CF8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B8E76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91E85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5C9F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2A63E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B2B0D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A4289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A4EC3"/>
    <w:multiLevelType w:val="hybridMultilevel"/>
    <w:tmpl w:val="A714405C"/>
    <w:lvl w:ilvl="0" w:tplc="7A50D0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88E7776">
      <w:start w:val="1"/>
      <w:numFmt w:val="bullet"/>
      <w:lvlText w:val="o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98C871A">
      <w:start w:val="1"/>
      <w:numFmt w:val="bullet"/>
      <w:lvlText w:val="▪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888B54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00DED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D505550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8E01E3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3E27B0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D07F9E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86E7D"/>
    <w:multiLevelType w:val="hybridMultilevel"/>
    <w:tmpl w:val="DB5E330C"/>
    <w:lvl w:ilvl="0" w:tplc="A9E0A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10B5C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706467E">
      <w:start w:val="1"/>
      <w:numFmt w:val="bullet"/>
      <w:lvlText w:val="▪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46CD48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BACA4CC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6414AE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F61248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50F48E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806CD34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345479"/>
    <w:multiLevelType w:val="hybridMultilevel"/>
    <w:tmpl w:val="F398CE60"/>
    <w:lvl w:ilvl="0" w:tplc="B120A0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DC3E24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8484AC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FE4298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BC82D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46E8A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D0DE1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CEBBC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C00B0E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37727"/>
    <w:multiLevelType w:val="hybridMultilevel"/>
    <w:tmpl w:val="C0ECA598"/>
    <w:lvl w:ilvl="0" w:tplc="3CBC6C6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86B0D0">
      <w:start w:val="1"/>
      <w:numFmt w:val="bullet"/>
      <w:lvlText w:val="o"/>
      <w:lvlJc w:val="left"/>
      <w:pPr>
        <w:ind w:left="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EC83E0">
      <w:start w:val="1"/>
      <w:numFmt w:val="bullet"/>
      <w:lvlText w:val="▪"/>
      <w:lvlJc w:val="left"/>
      <w:pPr>
        <w:ind w:left="1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9A9770">
      <w:start w:val="1"/>
      <w:numFmt w:val="bullet"/>
      <w:lvlText w:val="•"/>
      <w:lvlJc w:val="left"/>
      <w:pPr>
        <w:ind w:left="1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C26F9E0">
      <w:start w:val="1"/>
      <w:numFmt w:val="bullet"/>
      <w:lvlRestart w:val="0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52B23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06D39A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5AB8C2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FABED0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97B2E"/>
    <w:multiLevelType w:val="hybridMultilevel"/>
    <w:tmpl w:val="D6F05B44"/>
    <w:lvl w:ilvl="0" w:tplc="CE18FF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52D350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7CE3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5C49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9281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34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80A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066D7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0F8C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CE5C3B"/>
    <w:multiLevelType w:val="hybridMultilevel"/>
    <w:tmpl w:val="3E9E9FB4"/>
    <w:lvl w:ilvl="0" w:tplc="2C200F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B0BD5C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FC1DF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4810C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62DE8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6A831D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20E17E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22152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94E17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52"/>
    <w:rsid w:val="00521D26"/>
    <w:rsid w:val="006B3C97"/>
    <w:rsid w:val="00720915"/>
    <w:rsid w:val="00745CDE"/>
    <w:rsid w:val="008A40D4"/>
    <w:rsid w:val="009F3CC5"/>
    <w:rsid w:val="00A0358C"/>
    <w:rsid w:val="00CA2014"/>
    <w:rsid w:val="00D85C07"/>
    <w:rsid w:val="00E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7CA2"/>
  <w15:docId w15:val="{D96949ED-55A6-4747-B447-036F154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718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C5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Rapinder Dhillon</cp:lastModifiedBy>
  <cp:revision>5</cp:revision>
  <dcterms:created xsi:type="dcterms:W3CDTF">2021-11-25T14:11:00Z</dcterms:created>
  <dcterms:modified xsi:type="dcterms:W3CDTF">2021-11-30T09:07:00Z</dcterms:modified>
</cp:coreProperties>
</file>