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FB63" w14:textId="06B7F84A" w:rsidR="00BD6DC7" w:rsidRDefault="00BD6DC7">
      <w:pPr>
        <w:spacing w:after="53"/>
        <w:ind w:left="3554" w:right="-722"/>
      </w:pPr>
    </w:p>
    <w:p w14:paraId="3855B8D1" w14:textId="77777777" w:rsidR="00BD6DC7" w:rsidRDefault="00CC0BD5">
      <w:pPr>
        <w:spacing w:after="17"/>
        <w:ind w:right="134"/>
        <w:jc w:val="right"/>
      </w:pPr>
      <w:r>
        <w:rPr>
          <w:rFonts w:ascii="Arial" w:eastAsia="Arial" w:hAnsi="Arial" w:cs="Arial"/>
          <w:sz w:val="19"/>
        </w:rPr>
        <w:t xml:space="preserve"> </w:t>
      </w:r>
    </w:p>
    <w:p w14:paraId="4B9FF814" w14:textId="77777777" w:rsidR="00BD6DC7" w:rsidRDefault="00CC0BD5">
      <w:pPr>
        <w:spacing w:after="213"/>
        <w:ind w:right="134"/>
        <w:jc w:val="right"/>
      </w:pPr>
      <w:r>
        <w:rPr>
          <w:rFonts w:ascii="Arial" w:eastAsia="Arial" w:hAnsi="Arial" w:cs="Arial"/>
          <w:sz w:val="19"/>
        </w:rPr>
        <w:t xml:space="preserve"> </w:t>
      </w:r>
    </w:p>
    <w:p w14:paraId="52FCF30D" w14:textId="77777777" w:rsidR="00BD6DC7" w:rsidRDefault="00CC0BD5">
      <w:pPr>
        <w:spacing w:after="0"/>
        <w:ind w:right="188"/>
        <w:jc w:val="center"/>
      </w:pPr>
      <w:r>
        <w:rPr>
          <w:rFonts w:ascii="Arial" w:eastAsia="Arial" w:hAnsi="Arial" w:cs="Arial"/>
          <w:sz w:val="40"/>
        </w:rPr>
        <w:t xml:space="preserve">Taxation, Retail Investment and Pensions </w:t>
      </w:r>
    </w:p>
    <w:p w14:paraId="4D05271E" w14:textId="77777777" w:rsidR="00BD6DC7" w:rsidRDefault="00CC0BD5">
      <w:pPr>
        <w:spacing w:after="129"/>
        <w:ind w:right="134"/>
        <w:jc w:val="center"/>
      </w:pPr>
      <w:r>
        <w:rPr>
          <w:rFonts w:ascii="Arial" w:eastAsia="Arial" w:hAnsi="Arial" w:cs="Arial"/>
          <w:sz w:val="20"/>
        </w:rPr>
        <w:t xml:space="preserve"> </w:t>
      </w:r>
    </w:p>
    <w:p w14:paraId="59BA8B3B" w14:textId="77777777" w:rsidR="00BD6DC7" w:rsidRDefault="00CC0BD5">
      <w:pPr>
        <w:spacing w:after="0"/>
        <w:ind w:right="189"/>
        <w:jc w:val="center"/>
      </w:pPr>
      <w:r>
        <w:rPr>
          <w:rFonts w:ascii="Arial" w:eastAsia="Arial" w:hAnsi="Arial" w:cs="Arial"/>
          <w:sz w:val="32"/>
        </w:rPr>
        <w:t xml:space="preserve">Assignment 3 Notes </w:t>
      </w:r>
    </w:p>
    <w:p w14:paraId="647C2E66" w14:textId="77777777" w:rsidR="00BD6DC7" w:rsidRDefault="00CC0BD5">
      <w:pPr>
        <w:spacing w:after="0"/>
        <w:ind w:right="189"/>
        <w:jc w:val="center"/>
      </w:pPr>
      <w:r>
        <w:rPr>
          <w:rFonts w:ascii="Arial" w:eastAsia="Arial" w:hAnsi="Arial" w:cs="Arial"/>
          <w:i/>
          <w:sz w:val="19"/>
        </w:rPr>
        <w:t xml:space="preserve">(Part 2 – The UK Tax System) </w:t>
      </w:r>
    </w:p>
    <w:p w14:paraId="0B0CE257" w14:textId="77777777" w:rsidR="00BD6DC7" w:rsidRDefault="00CC0BD5">
      <w:pPr>
        <w:spacing w:after="5"/>
        <w:ind w:right="134"/>
        <w:jc w:val="right"/>
      </w:pPr>
      <w:r>
        <w:rPr>
          <w:rFonts w:ascii="Arial" w:eastAsia="Arial" w:hAnsi="Arial" w:cs="Arial"/>
          <w:sz w:val="19"/>
        </w:rPr>
        <w:t xml:space="preserve"> </w:t>
      </w:r>
    </w:p>
    <w:p w14:paraId="0853CA92" w14:textId="77777777" w:rsidR="00BD6DC7" w:rsidRDefault="00CC0BD5">
      <w:pPr>
        <w:spacing w:after="27"/>
        <w:ind w:right="217"/>
        <w:jc w:val="center"/>
      </w:pPr>
      <w:r>
        <w:rPr>
          <w:rFonts w:ascii="Arial" w:eastAsia="Arial" w:hAnsi="Arial" w:cs="Arial"/>
          <w:i/>
          <w:sz w:val="18"/>
        </w:rPr>
        <w:t xml:space="preserve">Recommended Time: 3 Hours </w:t>
      </w:r>
    </w:p>
    <w:p w14:paraId="118F07E7" w14:textId="77777777" w:rsidR="00BD6DC7" w:rsidRDefault="00CC0BD5">
      <w:pPr>
        <w:spacing w:after="14"/>
        <w:ind w:right="137"/>
        <w:jc w:val="center"/>
      </w:pPr>
      <w:r>
        <w:rPr>
          <w:rFonts w:ascii="Arial" w:eastAsia="Arial" w:hAnsi="Arial" w:cs="Arial"/>
          <w:sz w:val="19"/>
        </w:rPr>
        <w:t xml:space="preserve"> </w:t>
      </w:r>
    </w:p>
    <w:p w14:paraId="372ED99F" w14:textId="77777777" w:rsidR="00BD6DC7" w:rsidRDefault="00CC0BD5">
      <w:pPr>
        <w:spacing w:after="0"/>
      </w:pPr>
      <w:r>
        <w:rPr>
          <w:rFonts w:ascii="Arial" w:eastAsia="Arial" w:hAnsi="Arial" w:cs="Arial"/>
          <w:sz w:val="19"/>
        </w:rPr>
        <w:t xml:space="preserve"> </w:t>
      </w:r>
    </w:p>
    <w:p w14:paraId="1B5F8527" w14:textId="77777777" w:rsidR="00BD6DC7" w:rsidRDefault="00CC0BD5">
      <w:pPr>
        <w:numPr>
          <w:ilvl w:val="0"/>
          <w:numId w:val="1"/>
        </w:numPr>
        <w:spacing w:after="11" w:line="269" w:lineRule="auto"/>
        <w:ind w:hanging="427"/>
      </w:pPr>
      <w:r>
        <w:rPr>
          <w:rFonts w:ascii="Arial" w:eastAsia="Arial" w:hAnsi="Arial" w:cs="Arial"/>
          <w:b/>
          <w:sz w:val="19"/>
        </w:rPr>
        <w:t xml:space="preserve">Identify the main legislation that governs personal taxation in the UK. </w:t>
      </w:r>
    </w:p>
    <w:p w14:paraId="3A83DB39" w14:textId="77777777" w:rsidR="00BD6DC7" w:rsidRDefault="00CC0BD5">
      <w:pPr>
        <w:spacing w:after="15"/>
        <w:ind w:left="10" w:right="142" w:hanging="10"/>
        <w:jc w:val="right"/>
      </w:pPr>
      <w:r>
        <w:rPr>
          <w:rFonts w:ascii="Arial" w:eastAsia="Arial" w:hAnsi="Arial" w:cs="Arial"/>
          <w:b/>
          <w:sz w:val="19"/>
        </w:rPr>
        <w:t xml:space="preserve">5 marks </w:t>
      </w:r>
    </w:p>
    <w:p w14:paraId="6F7DDA11" w14:textId="77777777" w:rsidR="00BD6DC7" w:rsidRDefault="00CC0BD5">
      <w:pPr>
        <w:spacing w:after="5" w:line="268" w:lineRule="auto"/>
        <w:ind w:left="422" w:right="92" w:hanging="10"/>
      </w:pPr>
      <w:r>
        <w:rPr>
          <w:rFonts w:ascii="Arial" w:eastAsia="Arial" w:hAnsi="Arial" w:cs="Arial"/>
          <w:sz w:val="19"/>
        </w:rPr>
        <w:t xml:space="preserve">Answer should cover: </w:t>
      </w:r>
    </w:p>
    <w:p w14:paraId="4A23BF80" w14:textId="77777777" w:rsidR="00BD6DC7" w:rsidRDefault="00CC0BD5">
      <w:pPr>
        <w:spacing w:after="0"/>
        <w:ind w:left="708"/>
      </w:pPr>
      <w:r>
        <w:rPr>
          <w:rFonts w:ascii="Arial" w:eastAsia="Arial" w:hAnsi="Arial" w:cs="Arial"/>
          <w:sz w:val="19"/>
        </w:rPr>
        <w:t xml:space="preserve"> </w:t>
      </w:r>
    </w:p>
    <w:p w14:paraId="58767F1E" w14:textId="77777777" w:rsidR="00BD6DC7" w:rsidRDefault="00CC0BD5">
      <w:pPr>
        <w:spacing w:after="17"/>
        <w:ind w:left="7201"/>
      </w:pPr>
      <w:r>
        <w:rPr>
          <w:rFonts w:ascii="Arial" w:eastAsia="Arial" w:hAnsi="Arial" w:cs="Arial"/>
          <w:b/>
          <w:sz w:val="19"/>
        </w:rPr>
        <w:t xml:space="preserve"> </w:t>
      </w:r>
    </w:p>
    <w:p w14:paraId="54F79822" w14:textId="77777777" w:rsidR="00BD6DC7" w:rsidRDefault="00CC0BD5">
      <w:pPr>
        <w:spacing w:after="4" w:line="250" w:lineRule="auto"/>
        <w:ind w:left="422" w:right="98" w:hanging="10"/>
      </w:pPr>
      <w:r>
        <w:rPr>
          <w:rFonts w:ascii="Arial" w:eastAsia="Arial" w:hAnsi="Arial" w:cs="Arial"/>
          <w:color w:val="231F20"/>
          <w:sz w:val="19"/>
        </w:rPr>
        <w:t xml:space="preserve">The main legislation takes three forms:  </w:t>
      </w:r>
    </w:p>
    <w:p w14:paraId="39944251" w14:textId="77777777" w:rsidR="00BD6DC7" w:rsidRDefault="00CC0BD5">
      <w:pPr>
        <w:spacing w:after="0"/>
        <w:ind w:left="427"/>
      </w:pPr>
      <w:r>
        <w:rPr>
          <w:rFonts w:ascii="Arial" w:eastAsia="Arial" w:hAnsi="Arial" w:cs="Arial"/>
          <w:color w:val="231F20"/>
          <w:sz w:val="19"/>
        </w:rPr>
        <w:t xml:space="preserve"> </w:t>
      </w:r>
    </w:p>
    <w:p w14:paraId="07C101D5"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Primary legislation </w:t>
      </w:r>
    </w:p>
    <w:p w14:paraId="12700B25"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Secondary legislation </w:t>
      </w:r>
    </w:p>
    <w:p w14:paraId="6F6837D8"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Case law </w:t>
      </w:r>
    </w:p>
    <w:p w14:paraId="0C335C86" w14:textId="77777777" w:rsidR="00BD6DC7" w:rsidRDefault="00CC0BD5">
      <w:pPr>
        <w:spacing w:after="0"/>
      </w:pPr>
      <w:r>
        <w:rPr>
          <w:rFonts w:ascii="Arial" w:eastAsia="Arial" w:hAnsi="Arial" w:cs="Arial"/>
          <w:color w:val="231F20"/>
          <w:sz w:val="19"/>
        </w:rPr>
        <w:t xml:space="preserve"> </w:t>
      </w:r>
    </w:p>
    <w:p w14:paraId="29712852" w14:textId="77777777" w:rsidR="00BD6DC7" w:rsidRDefault="00CC0BD5">
      <w:pPr>
        <w:spacing w:after="4" w:line="250" w:lineRule="auto"/>
        <w:ind w:left="422" w:right="98" w:hanging="10"/>
      </w:pPr>
      <w:r>
        <w:rPr>
          <w:rFonts w:ascii="Arial" w:eastAsia="Arial" w:hAnsi="Arial" w:cs="Arial"/>
          <w:color w:val="231F20"/>
          <w:sz w:val="19"/>
        </w:rPr>
        <w:t xml:space="preserve">The main source of new legislation is the annual Finance Act.  </w:t>
      </w:r>
    </w:p>
    <w:p w14:paraId="752488A2" w14:textId="77777777" w:rsidR="00BD6DC7" w:rsidRDefault="00CC0BD5">
      <w:pPr>
        <w:spacing w:after="0"/>
      </w:pPr>
      <w:r>
        <w:rPr>
          <w:rFonts w:ascii="Arial" w:eastAsia="Arial" w:hAnsi="Arial" w:cs="Arial"/>
          <w:color w:val="231F20"/>
          <w:sz w:val="19"/>
        </w:rPr>
        <w:t xml:space="preserve"> </w:t>
      </w:r>
    </w:p>
    <w:p w14:paraId="159AAD8F" w14:textId="77777777" w:rsidR="00BD6DC7" w:rsidRDefault="00CC0BD5">
      <w:pPr>
        <w:spacing w:after="4" w:line="250" w:lineRule="auto"/>
        <w:ind w:left="422" w:right="98" w:hanging="10"/>
      </w:pPr>
      <w:r>
        <w:rPr>
          <w:rFonts w:ascii="Arial" w:eastAsia="Arial" w:hAnsi="Arial" w:cs="Arial"/>
          <w:color w:val="231F20"/>
          <w:sz w:val="19"/>
        </w:rPr>
        <w:t xml:space="preserve">A full answer could include a little further detail on each and possibly an example. </w:t>
      </w:r>
    </w:p>
    <w:p w14:paraId="6A01006B" w14:textId="77777777" w:rsidR="00BD6DC7" w:rsidRDefault="00CC0BD5">
      <w:pPr>
        <w:spacing w:after="0"/>
      </w:pPr>
      <w:r>
        <w:rPr>
          <w:rFonts w:ascii="Arial" w:eastAsia="Arial" w:hAnsi="Arial" w:cs="Arial"/>
          <w:color w:val="231F20"/>
          <w:sz w:val="19"/>
        </w:rPr>
        <w:t xml:space="preserve"> </w:t>
      </w:r>
    </w:p>
    <w:p w14:paraId="4379EEEC" w14:textId="77777777" w:rsidR="00BD6DC7" w:rsidRDefault="00CC0BD5">
      <w:pPr>
        <w:spacing w:after="0"/>
      </w:pPr>
      <w:r>
        <w:rPr>
          <w:rFonts w:ascii="Arial" w:eastAsia="Arial" w:hAnsi="Arial" w:cs="Arial"/>
          <w:b/>
          <w:sz w:val="19"/>
        </w:rPr>
        <w:t xml:space="preserve"> </w:t>
      </w:r>
    </w:p>
    <w:p w14:paraId="37CFBCB6" w14:textId="77777777" w:rsidR="00BD6DC7" w:rsidRDefault="00CC0BD5">
      <w:pPr>
        <w:spacing w:after="5" w:line="268" w:lineRule="auto"/>
        <w:ind w:left="422" w:right="92" w:hanging="10"/>
      </w:pPr>
      <w:r>
        <w:rPr>
          <w:rFonts w:ascii="Arial" w:eastAsia="Arial" w:hAnsi="Arial" w:cs="Arial"/>
          <w:sz w:val="19"/>
        </w:rPr>
        <w:t xml:space="preserve">Relevant section of the manual is Part 2 Overview </w:t>
      </w:r>
    </w:p>
    <w:p w14:paraId="378757F4" w14:textId="77777777" w:rsidR="00BD6DC7" w:rsidRDefault="00CC0BD5">
      <w:pPr>
        <w:spacing w:after="0"/>
        <w:ind w:left="360"/>
      </w:pPr>
      <w:r>
        <w:rPr>
          <w:rFonts w:ascii="Arial" w:eastAsia="Arial" w:hAnsi="Arial" w:cs="Arial"/>
          <w:b/>
          <w:sz w:val="19"/>
        </w:rPr>
        <w:t xml:space="preserve"> </w:t>
      </w:r>
    </w:p>
    <w:p w14:paraId="5E45EA34" w14:textId="77777777" w:rsidR="00BD6DC7" w:rsidRDefault="00CC0BD5">
      <w:pPr>
        <w:spacing w:after="15"/>
        <w:ind w:left="10" w:right="142" w:hanging="10"/>
        <w:jc w:val="right"/>
      </w:pPr>
      <w:r>
        <w:rPr>
          <w:rFonts w:ascii="Arial" w:eastAsia="Arial" w:hAnsi="Arial" w:cs="Arial"/>
          <w:b/>
          <w:sz w:val="19"/>
        </w:rPr>
        <w:t xml:space="preserve">5 marks </w:t>
      </w:r>
    </w:p>
    <w:p w14:paraId="3B36C06E" w14:textId="77777777" w:rsidR="00BD6DC7" w:rsidRDefault="00CC0BD5">
      <w:pPr>
        <w:spacing w:after="14"/>
        <w:ind w:right="134"/>
        <w:jc w:val="right"/>
      </w:pPr>
      <w:r>
        <w:rPr>
          <w:rFonts w:ascii="Arial" w:eastAsia="Arial" w:hAnsi="Arial" w:cs="Arial"/>
          <w:b/>
          <w:sz w:val="19"/>
        </w:rPr>
        <w:t xml:space="preserve"> </w:t>
      </w:r>
    </w:p>
    <w:p w14:paraId="3E81193F" w14:textId="77777777" w:rsidR="00BD6DC7" w:rsidRDefault="00CC0BD5">
      <w:pPr>
        <w:spacing w:after="17"/>
        <w:ind w:right="134"/>
        <w:jc w:val="right"/>
      </w:pPr>
      <w:r>
        <w:rPr>
          <w:rFonts w:ascii="Arial" w:eastAsia="Arial" w:hAnsi="Arial" w:cs="Arial"/>
          <w:b/>
          <w:sz w:val="19"/>
        </w:rPr>
        <w:t xml:space="preserve"> </w:t>
      </w:r>
    </w:p>
    <w:p w14:paraId="79B26531" w14:textId="77777777" w:rsidR="00BD6DC7" w:rsidRDefault="00CC0BD5">
      <w:pPr>
        <w:numPr>
          <w:ilvl w:val="0"/>
          <w:numId w:val="1"/>
        </w:numPr>
        <w:spacing w:after="11" w:line="269" w:lineRule="auto"/>
        <w:ind w:hanging="427"/>
      </w:pPr>
      <w:r>
        <w:rPr>
          <w:rFonts w:ascii="Arial" w:eastAsia="Arial" w:hAnsi="Arial" w:cs="Arial"/>
          <w:b/>
          <w:sz w:val="19"/>
        </w:rPr>
        <w:t xml:space="preserve">Outline the different types of income for the purposes of Income Tax. </w:t>
      </w:r>
    </w:p>
    <w:p w14:paraId="4BE10ACD" w14:textId="77777777" w:rsidR="00BD6DC7" w:rsidRDefault="00CC0BD5">
      <w:pPr>
        <w:spacing w:after="15"/>
        <w:ind w:left="10" w:right="142" w:hanging="10"/>
        <w:jc w:val="right"/>
      </w:pPr>
      <w:r>
        <w:rPr>
          <w:rFonts w:ascii="Arial" w:eastAsia="Arial" w:hAnsi="Arial" w:cs="Arial"/>
          <w:b/>
          <w:sz w:val="19"/>
        </w:rPr>
        <w:t xml:space="preserve">5 marks </w:t>
      </w:r>
    </w:p>
    <w:p w14:paraId="13683A02" w14:textId="77777777" w:rsidR="00BD6DC7" w:rsidRDefault="00CC0BD5">
      <w:pPr>
        <w:spacing w:after="17"/>
      </w:pPr>
      <w:r>
        <w:rPr>
          <w:rFonts w:ascii="Arial" w:eastAsia="Arial" w:hAnsi="Arial" w:cs="Arial"/>
          <w:sz w:val="19"/>
        </w:rPr>
        <w:t xml:space="preserve"> </w:t>
      </w:r>
    </w:p>
    <w:p w14:paraId="208628E8" w14:textId="77777777" w:rsidR="00BD6DC7" w:rsidRDefault="00CC0BD5">
      <w:pPr>
        <w:spacing w:after="5" w:line="268" w:lineRule="auto"/>
        <w:ind w:left="422" w:right="92" w:hanging="10"/>
      </w:pPr>
      <w:r>
        <w:rPr>
          <w:rFonts w:ascii="Arial" w:eastAsia="Arial" w:hAnsi="Arial" w:cs="Arial"/>
          <w:sz w:val="19"/>
        </w:rPr>
        <w:t xml:space="preserve">Answer should cover: </w:t>
      </w:r>
    </w:p>
    <w:p w14:paraId="55DC1F60" w14:textId="77777777" w:rsidR="00BD6DC7" w:rsidRDefault="00CC0BD5">
      <w:pPr>
        <w:spacing w:after="0"/>
        <w:ind w:left="708"/>
      </w:pPr>
      <w:r>
        <w:rPr>
          <w:rFonts w:ascii="Arial" w:eastAsia="Arial" w:hAnsi="Arial" w:cs="Arial"/>
          <w:sz w:val="19"/>
        </w:rPr>
        <w:t xml:space="preserve"> </w:t>
      </w:r>
    </w:p>
    <w:p w14:paraId="1A59E7A5" w14:textId="77777777" w:rsidR="004C5BC6" w:rsidRDefault="00CC0BD5">
      <w:pPr>
        <w:spacing w:after="5" w:line="268" w:lineRule="auto"/>
        <w:ind w:left="422" w:right="92" w:hanging="10"/>
        <w:rPr>
          <w:rFonts w:ascii="Arial" w:eastAsia="Arial" w:hAnsi="Arial" w:cs="Arial"/>
          <w:sz w:val="19"/>
        </w:rPr>
      </w:pPr>
      <w:r>
        <w:rPr>
          <w:rFonts w:ascii="Arial" w:eastAsia="Arial" w:hAnsi="Arial" w:cs="Arial"/>
          <w:sz w:val="19"/>
        </w:rPr>
        <w:t>The main division is between earned and unearned income.</w:t>
      </w:r>
    </w:p>
    <w:p w14:paraId="0CE46230" w14:textId="77777777" w:rsidR="004C5BC6" w:rsidRDefault="004C5BC6">
      <w:pPr>
        <w:spacing w:after="5" w:line="268" w:lineRule="auto"/>
        <w:ind w:left="422" w:right="92" w:hanging="10"/>
        <w:rPr>
          <w:rFonts w:ascii="Arial" w:eastAsia="Arial" w:hAnsi="Arial" w:cs="Arial"/>
          <w:sz w:val="19"/>
        </w:rPr>
      </w:pPr>
      <w:r>
        <w:rPr>
          <w:rFonts w:ascii="Arial" w:eastAsia="Arial" w:hAnsi="Arial" w:cs="Arial"/>
          <w:sz w:val="19"/>
        </w:rPr>
        <w:t xml:space="preserve">Earned Income </w:t>
      </w:r>
    </w:p>
    <w:p w14:paraId="69A376D9" w14:textId="3F1347B0" w:rsidR="004C5BC6" w:rsidRDefault="004C5BC6" w:rsidP="004C5BC6">
      <w:pPr>
        <w:spacing w:after="5" w:line="268" w:lineRule="auto"/>
        <w:ind w:left="422" w:right="92" w:hanging="10"/>
        <w:rPr>
          <w:rFonts w:ascii="Arial" w:eastAsia="Arial" w:hAnsi="Arial" w:cs="Arial"/>
          <w:sz w:val="19"/>
        </w:rPr>
      </w:pPr>
      <w:r w:rsidRPr="004C5BC6">
        <w:t xml:space="preserve"> </w:t>
      </w:r>
      <w:r w:rsidRPr="004C5BC6">
        <w:rPr>
          <w:rFonts w:ascii="Arial" w:eastAsia="Arial" w:hAnsi="Arial" w:cs="Arial"/>
          <w:sz w:val="19"/>
        </w:rPr>
        <w:t xml:space="preserve">• Income arising both directly and indirectly from employment. </w:t>
      </w:r>
    </w:p>
    <w:p w14:paraId="4153CD01" w14:textId="6F068D61" w:rsidR="004C5BC6" w:rsidRDefault="004C5BC6">
      <w:pPr>
        <w:spacing w:after="5" w:line="268" w:lineRule="auto"/>
        <w:ind w:left="422" w:right="92" w:hanging="10"/>
        <w:rPr>
          <w:rFonts w:ascii="Arial" w:eastAsia="Arial" w:hAnsi="Arial" w:cs="Arial"/>
          <w:sz w:val="19"/>
        </w:rPr>
      </w:pPr>
      <w:r>
        <w:rPr>
          <w:rFonts w:ascii="Arial" w:eastAsia="Arial" w:hAnsi="Arial" w:cs="Arial"/>
          <w:sz w:val="19"/>
        </w:rPr>
        <w:t xml:space="preserve">.  </w:t>
      </w:r>
      <w:r w:rsidRPr="004C5BC6">
        <w:rPr>
          <w:rFonts w:ascii="Arial" w:eastAsia="Arial" w:hAnsi="Arial" w:cs="Arial"/>
          <w:sz w:val="19"/>
        </w:rPr>
        <w:t>Earnings by an individual from a trade, profession or vocation whether carried on alone or in partnership are all taxed as self-employed earnings.</w:t>
      </w:r>
      <w:r w:rsidRPr="004C5BC6">
        <w:t xml:space="preserve"> </w:t>
      </w:r>
      <w:r w:rsidRPr="004C5BC6">
        <w:rPr>
          <w:rFonts w:ascii="Arial" w:eastAsia="Arial" w:hAnsi="Arial" w:cs="Arial"/>
          <w:sz w:val="19"/>
        </w:rPr>
        <w:t xml:space="preserve">Most pensions income, State, company and </w:t>
      </w:r>
      <w:r w:rsidRPr="004C5BC6">
        <w:rPr>
          <w:rFonts w:ascii="Arial" w:eastAsia="Arial" w:hAnsi="Arial" w:cs="Arial"/>
          <w:sz w:val="19"/>
        </w:rPr>
        <w:lastRenderedPageBreak/>
        <w:t xml:space="preserve">personal, including State pensions (Basic and earnings-related), public and private pensions, foreign pensions, annuities, and drawdown payments to the holders of personal pensions. In </w:t>
      </w:r>
      <w:proofErr w:type="gramStart"/>
      <w:r w:rsidRPr="004C5BC6">
        <w:rPr>
          <w:rFonts w:ascii="Arial" w:eastAsia="Arial" w:hAnsi="Arial" w:cs="Arial"/>
          <w:sz w:val="19"/>
        </w:rPr>
        <w:t>addition</w:t>
      </w:r>
      <w:proofErr w:type="gramEnd"/>
      <w:r w:rsidRPr="004C5BC6">
        <w:rPr>
          <w:rFonts w:ascii="Arial" w:eastAsia="Arial" w:hAnsi="Arial" w:cs="Arial"/>
          <w:sz w:val="19"/>
        </w:rPr>
        <w:t xml:space="preserve"> State unemployment benefits (Jobseeker’s Allowance etc.), Carer’s Allowance</w:t>
      </w:r>
      <w:r>
        <w:rPr>
          <w:rFonts w:ascii="Arial" w:eastAsia="Arial" w:hAnsi="Arial" w:cs="Arial"/>
          <w:sz w:val="19"/>
        </w:rPr>
        <w:t>,</w:t>
      </w:r>
      <w:r w:rsidRPr="004C5BC6">
        <w:rPr>
          <w:rFonts w:ascii="Arial" w:eastAsia="Arial" w:hAnsi="Arial" w:cs="Arial"/>
          <w:sz w:val="19"/>
        </w:rPr>
        <w:t xml:space="preserve"> Widow’s Pension, Statutory Sick Pay, Maternity Pay, Adoption Pay and Paternity Pay</w:t>
      </w:r>
    </w:p>
    <w:p w14:paraId="3BD38BAD" w14:textId="30978EF3" w:rsidR="004C5BC6" w:rsidRDefault="004C5BC6">
      <w:pPr>
        <w:spacing w:after="5" w:line="268" w:lineRule="auto"/>
        <w:ind w:left="422" w:right="92" w:hanging="10"/>
        <w:rPr>
          <w:rFonts w:ascii="Arial" w:eastAsia="Arial" w:hAnsi="Arial" w:cs="Arial"/>
          <w:sz w:val="19"/>
        </w:rPr>
      </w:pPr>
      <w:r w:rsidRPr="004C5BC6">
        <w:rPr>
          <w:rFonts w:ascii="Arial" w:eastAsia="Arial" w:hAnsi="Arial" w:cs="Arial"/>
          <w:sz w:val="19"/>
        </w:rPr>
        <w:t>T</w:t>
      </w:r>
      <w:r w:rsidR="00CC0BD5">
        <w:rPr>
          <w:rFonts w:ascii="Arial" w:eastAsia="Arial" w:hAnsi="Arial" w:cs="Arial"/>
          <w:sz w:val="19"/>
        </w:rPr>
        <w:t xml:space="preserve"> </w:t>
      </w:r>
    </w:p>
    <w:p w14:paraId="12E59ECE" w14:textId="77777777" w:rsidR="004C5BC6" w:rsidRDefault="004C5BC6">
      <w:pPr>
        <w:spacing w:after="5" w:line="268" w:lineRule="auto"/>
        <w:ind w:left="422" w:right="92" w:hanging="10"/>
        <w:rPr>
          <w:rFonts w:ascii="Arial" w:eastAsia="Arial" w:hAnsi="Arial" w:cs="Arial"/>
          <w:sz w:val="19"/>
        </w:rPr>
      </w:pPr>
    </w:p>
    <w:p w14:paraId="37FB0008" w14:textId="03A75E36" w:rsidR="00BD6DC7" w:rsidRDefault="004C5BC6" w:rsidP="004C5BC6">
      <w:pPr>
        <w:spacing w:after="5" w:line="268" w:lineRule="auto"/>
        <w:ind w:left="422" w:right="92" w:hanging="10"/>
      </w:pPr>
      <w:r w:rsidRPr="004C5BC6">
        <w:rPr>
          <w:rFonts w:ascii="Arial" w:eastAsia="Arial" w:hAnsi="Arial" w:cs="Arial"/>
          <w:sz w:val="19"/>
        </w:rPr>
        <w:t xml:space="preserve">Unearned income broadly encompasses all investment income, including dividends, rental </w:t>
      </w:r>
      <w:proofErr w:type="gramStart"/>
      <w:r w:rsidRPr="004C5BC6">
        <w:rPr>
          <w:rFonts w:ascii="Arial" w:eastAsia="Arial" w:hAnsi="Arial" w:cs="Arial"/>
          <w:sz w:val="19"/>
        </w:rPr>
        <w:t>income</w:t>
      </w:r>
      <w:proofErr w:type="gramEnd"/>
      <w:r w:rsidRPr="004C5BC6">
        <w:rPr>
          <w:rFonts w:ascii="Arial" w:eastAsia="Arial" w:hAnsi="Arial" w:cs="Arial"/>
          <w:sz w:val="19"/>
        </w:rPr>
        <w:t xml:space="preserve"> and chargeable gains on life insurance policies. It includes income from business-like activities that involve some management involvement but fall short of amounting fully to a trade: the prime example of this being property income where the main source of income is the letting of the property as distinct from the provision of services. Annual interest received, including interest payments from building societies and banks is perhaps the most common type of unearned income.</w:t>
      </w:r>
    </w:p>
    <w:p w14:paraId="333D0FAB" w14:textId="77777777" w:rsidR="00BD6DC7" w:rsidRDefault="00CC0BD5">
      <w:pPr>
        <w:spacing w:after="17"/>
        <w:ind w:left="427"/>
      </w:pPr>
      <w:r>
        <w:rPr>
          <w:rFonts w:ascii="Arial" w:eastAsia="Arial" w:hAnsi="Arial" w:cs="Arial"/>
          <w:sz w:val="19"/>
        </w:rPr>
        <w:t xml:space="preserve"> </w:t>
      </w:r>
    </w:p>
    <w:p w14:paraId="488EE804" w14:textId="77777777" w:rsidR="00BD6DC7" w:rsidRDefault="00CC0BD5">
      <w:pPr>
        <w:spacing w:after="17"/>
        <w:ind w:left="7201"/>
      </w:pPr>
      <w:r>
        <w:rPr>
          <w:rFonts w:ascii="Arial" w:eastAsia="Arial" w:hAnsi="Arial" w:cs="Arial"/>
          <w:b/>
          <w:sz w:val="19"/>
        </w:rPr>
        <w:t xml:space="preserve"> </w:t>
      </w:r>
    </w:p>
    <w:p w14:paraId="2D67B393" w14:textId="77777777" w:rsidR="00BD6DC7" w:rsidRDefault="00CC0BD5">
      <w:pPr>
        <w:spacing w:after="5" w:line="268" w:lineRule="auto"/>
        <w:ind w:left="422" w:right="92" w:hanging="10"/>
      </w:pPr>
      <w:r>
        <w:rPr>
          <w:rFonts w:ascii="Arial" w:eastAsia="Arial" w:hAnsi="Arial" w:cs="Arial"/>
          <w:sz w:val="19"/>
        </w:rPr>
        <w:t xml:space="preserve">Relevant section of the manual is Part 2 Chapter 1.1 </w:t>
      </w:r>
    </w:p>
    <w:p w14:paraId="7E60EB3C" w14:textId="77777777" w:rsidR="00BD6DC7" w:rsidRDefault="00CC0BD5">
      <w:pPr>
        <w:spacing w:after="0"/>
        <w:ind w:left="360"/>
      </w:pPr>
      <w:r>
        <w:rPr>
          <w:rFonts w:ascii="Arial" w:eastAsia="Arial" w:hAnsi="Arial" w:cs="Arial"/>
          <w:b/>
          <w:sz w:val="19"/>
        </w:rPr>
        <w:t xml:space="preserve"> </w:t>
      </w:r>
    </w:p>
    <w:p w14:paraId="672D5F05" w14:textId="77777777" w:rsidR="00BD6DC7" w:rsidRDefault="00CC0BD5">
      <w:pPr>
        <w:spacing w:after="15"/>
        <w:ind w:left="10" w:right="142" w:hanging="10"/>
        <w:jc w:val="right"/>
      </w:pPr>
      <w:r>
        <w:rPr>
          <w:rFonts w:ascii="Arial" w:eastAsia="Arial" w:hAnsi="Arial" w:cs="Arial"/>
          <w:b/>
          <w:sz w:val="19"/>
        </w:rPr>
        <w:t xml:space="preserve">5 marks </w:t>
      </w:r>
    </w:p>
    <w:p w14:paraId="52A33754" w14:textId="77777777" w:rsidR="00BD6DC7" w:rsidRDefault="00CC0BD5">
      <w:pPr>
        <w:spacing w:after="17"/>
        <w:ind w:right="134"/>
        <w:jc w:val="right"/>
      </w:pPr>
      <w:r>
        <w:rPr>
          <w:rFonts w:ascii="Arial" w:eastAsia="Arial" w:hAnsi="Arial" w:cs="Arial"/>
          <w:b/>
          <w:sz w:val="19"/>
        </w:rPr>
        <w:t xml:space="preserve"> </w:t>
      </w:r>
    </w:p>
    <w:p w14:paraId="5A8E7CA9" w14:textId="77777777" w:rsidR="00BD6DC7" w:rsidRDefault="00CC0BD5">
      <w:pPr>
        <w:spacing w:after="17"/>
        <w:ind w:left="7201"/>
      </w:pPr>
      <w:r>
        <w:rPr>
          <w:rFonts w:ascii="Arial" w:eastAsia="Arial" w:hAnsi="Arial" w:cs="Arial"/>
          <w:b/>
          <w:sz w:val="19"/>
        </w:rPr>
        <w:t xml:space="preserve"> </w:t>
      </w:r>
    </w:p>
    <w:p w14:paraId="275155DC" w14:textId="77777777" w:rsidR="00BD6DC7" w:rsidRDefault="00CC0BD5">
      <w:pPr>
        <w:spacing w:after="0" w:line="275" w:lineRule="auto"/>
        <w:ind w:right="1702"/>
        <w:jc w:val="both"/>
      </w:pPr>
      <w:r>
        <w:rPr>
          <w:rFonts w:ascii="Arial" w:eastAsia="Arial" w:hAnsi="Arial" w:cs="Arial"/>
          <w:b/>
          <w:sz w:val="19"/>
        </w:rPr>
        <w:t xml:space="preserve">  </w:t>
      </w:r>
      <w:r>
        <w:rPr>
          <w:rFonts w:ascii="Arial" w:eastAsia="Arial" w:hAnsi="Arial" w:cs="Arial"/>
          <w:b/>
          <w:sz w:val="19"/>
        </w:rPr>
        <w:tab/>
        <w:t xml:space="preserve"> </w:t>
      </w:r>
    </w:p>
    <w:p w14:paraId="76579310" w14:textId="77777777" w:rsidR="00BD6DC7" w:rsidRDefault="00CC0BD5">
      <w:pPr>
        <w:numPr>
          <w:ilvl w:val="0"/>
          <w:numId w:val="1"/>
        </w:numPr>
        <w:spacing w:after="11" w:line="269" w:lineRule="auto"/>
        <w:ind w:hanging="427"/>
      </w:pPr>
      <w:r>
        <w:rPr>
          <w:rFonts w:ascii="Arial" w:eastAsia="Arial" w:hAnsi="Arial" w:cs="Arial"/>
          <w:b/>
          <w:sz w:val="19"/>
        </w:rPr>
        <w:t xml:space="preserve">A client based overseas has asked you for an explanation of how the residency rules for UK Income Tax may impact on an individual working abroad.  Prepare some notes for use in a conference call with the client.  </w:t>
      </w:r>
    </w:p>
    <w:p w14:paraId="18B1CB38" w14:textId="77777777" w:rsidR="00BD6DC7" w:rsidRDefault="00CC0BD5">
      <w:pPr>
        <w:spacing w:after="15"/>
        <w:ind w:left="10" w:right="-15" w:hanging="10"/>
        <w:jc w:val="right"/>
      </w:pPr>
      <w:r>
        <w:rPr>
          <w:rFonts w:ascii="Arial" w:eastAsia="Arial" w:hAnsi="Arial" w:cs="Arial"/>
          <w:b/>
          <w:sz w:val="19"/>
        </w:rPr>
        <w:t xml:space="preserve">15 marks </w:t>
      </w:r>
    </w:p>
    <w:p w14:paraId="77CDE74D" w14:textId="77777777" w:rsidR="00BD6DC7" w:rsidRDefault="00CC0BD5">
      <w:pPr>
        <w:spacing w:after="14"/>
      </w:pPr>
      <w:r>
        <w:rPr>
          <w:rFonts w:ascii="Arial" w:eastAsia="Arial" w:hAnsi="Arial" w:cs="Arial"/>
          <w:sz w:val="19"/>
        </w:rPr>
        <w:t xml:space="preserve"> </w:t>
      </w:r>
    </w:p>
    <w:p w14:paraId="312F6B83" w14:textId="77777777" w:rsidR="00BD6DC7" w:rsidRDefault="00CC0BD5">
      <w:pPr>
        <w:spacing w:after="5" w:line="268" w:lineRule="auto"/>
        <w:ind w:left="422" w:right="92" w:hanging="10"/>
      </w:pPr>
      <w:r>
        <w:rPr>
          <w:rFonts w:ascii="Arial" w:eastAsia="Arial" w:hAnsi="Arial" w:cs="Arial"/>
          <w:sz w:val="19"/>
        </w:rPr>
        <w:t xml:space="preserve">Answer should cover: </w:t>
      </w:r>
    </w:p>
    <w:p w14:paraId="033C41DB" w14:textId="77777777" w:rsidR="00BD6DC7" w:rsidRDefault="00CC0BD5">
      <w:pPr>
        <w:spacing w:after="0"/>
        <w:ind w:left="708"/>
      </w:pPr>
      <w:r>
        <w:rPr>
          <w:rFonts w:ascii="Arial" w:eastAsia="Arial" w:hAnsi="Arial" w:cs="Arial"/>
          <w:sz w:val="19"/>
        </w:rPr>
        <w:t xml:space="preserve"> </w:t>
      </w:r>
    </w:p>
    <w:p w14:paraId="39B72A0D" w14:textId="77777777" w:rsidR="00BD6DC7" w:rsidRDefault="00CC0BD5">
      <w:pPr>
        <w:spacing w:after="5" w:line="268" w:lineRule="auto"/>
        <w:ind w:left="422" w:right="92" w:hanging="10"/>
      </w:pPr>
      <w:r>
        <w:rPr>
          <w:rFonts w:ascii="Arial" w:eastAsia="Arial" w:hAnsi="Arial" w:cs="Arial"/>
          <w:sz w:val="19"/>
        </w:rPr>
        <w:t xml:space="preserve">Establishing residency and hence the liability for Income Tax is crucial for an individual working abroad. </w:t>
      </w:r>
    </w:p>
    <w:p w14:paraId="42D5171B" w14:textId="77777777" w:rsidR="00BD6DC7" w:rsidRDefault="00CC0BD5">
      <w:pPr>
        <w:spacing w:after="17"/>
        <w:ind w:left="427"/>
      </w:pPr>
      <w:r>
        <w:rPr>
          <w:rFonts w:ascii="Arial" w:eastAsia="Arial" w:hAnsi="Arial" w:cs="Arial"/>
          <w:sz w:val="19"/>
        </w:rPr>
        <w:t xml:space="preserve"> </w:t>
      </w:r>
    </w:p>
    <w:p w14:paraId="03E44440" w14:textId="77777777" w:rsidR="00BD6DC7" w:rsidRDefault="00CC0BD5">
      <w:pPr>
        <w:spacing w:after="5" w:line="268" w:lineRule="auto"/>
        <w:ind w:left="422" w:right="92" w:hanging="10"/>
      </w:pPr>
      <w:r>
        <w:rPr>
          <w:rFonts w:ascii="Arial" w:eastAsia="Arial" w:hAnsi="Arial" w:cs="Arial"/>
          <w:sz w:val="19"/>
        </w:rPr>
        <w:t xml:space="preserve">There are several options under the following headings: </w:t>
      </w:r>
    </w:p>
    <w:p w14:paraId="671AEBC4" w14:textId="77777777" w:rsidR="00BD6DC7" w:rsidRDefault="00CC0BD5">
      <w:pPr>
        <w:spacing w:after="33"/>
        <w:ind w:left="427"/>
      </w:pPr>
      <w:r>
        <w:rPr>
          <w:rFonts w:ascii="Arial" w:eastAsia="Arial" w:hAnsi="Arial" w:cs="Arial"/>
          <w:sz w:val="19"/>
        </w:rPr>
        <w:t xml:space="preserve"> </w:t>
      </w:r>
    </w:p>
    <w:p w14:paraId="0ED3B7F7" w14:textId="326731BB" w:rsidR="00BD6DC7" w:rsidRDefault="00CC0BD5">
      <w:pPr>
        <w:numPr>
          <w:ilvl w:val="1"/>
          <w:numId w:val="1"/>
        </w:numPr>
        <w:spacing w:after="5" w:line="268" w:lineRule="auto"/>
        <w:ind w:right="98" w:hanging="425"/>
      </w:pPr>
      <w:r>
        <w:rPr>
          <w:rFonts w:ascii="Arial" w:eastAsia="Arial" w:hAnsi="Arial" w:cs="Arial"/>
          <w:sz w:val="19"/>
        </w:rPr>
        <w:t xml:space="preserve">Statutory residence </w:t>
      </w:r>
      <w:r w:rsidR="00160A76">
        <w:rPr>
          <w:rFonts w:ascii="Arial" w:eastAsia="Arial" w:hAnsi="Arial" w:cs="Arial"/>
          <w:sz w:val="19"/>
        </w:rPr>
        <w:t xml:space="preserve">- </w:t>
      </w:r>
      <w:r w:rsidR="00160A76" w:rsidRPr="00160A76">
        <w:rPr>
          <w:rFonts w:ascii="Arial" w:eastAsia="Arial" w:hAnsi="Arial" w:cs="Arial"/>
          <w:sz w:val="19"/>
        </w:rPr>
        <w:t>anyone who is present in the UK on 183 days or more in the tax year is UK-resident.</w:t>
      </w:r>
    </w:p>
    <w:p w14:paraId="6B453893" w14:textId="60C16CCD" w:rsidR="00BD6DC7" w:rsidRDefault="00CC0BD5">
      <w:pPr>
        <w:numPr>
          <w:ilvl w:val="1"/>
          <w:numId w:val="1"/>
        </w:numPr>
        <w:spacing w:after="5" w:line="268" w:lineRule="auto"/>
        <w:ind w:right="98" w:hanging="425"/>
      </w:pPr>
      <w:r>
        <w:rPr>
          <w:rFonts w:ascii="Arial" w:eastAsia="Arial" w:hAnsi="Arial" w:cs="Arial"/>
          <w:sz w:val="19"/>
        </w:rPr>
        <w:t xml:space="preserve">Automatic overseas tests </w:t>
      </w:r>
      <w:r w:rsidR="00160A76">
        <w:rPr>
          <w:rFonts w:ascii="Arial" w:eastAsia="Arial" w:hAnsi="Arial" w:cs="Arial"/>
          <w:sz w:val="19"/>
        </w:rPr>
        <w:t xml:space="preserve">- </w:t>
      </w:r>
      <w:r w:rsidR="00160A76" w:rsidRPr="00160A76">
        <w:rPr>
          <w:rFonts w:ascii="Arial" w:eastAsia="Arial" w:hAnsi="Arial" w:cs="Arial"/>
          <w:sz w:val="19"/>
        </w:rPr>
        <w:t>• First automatic overseas test: resident in the UK for one or more of the three tax years preceding the tax year, spending fewer than 16 days in the UK in the tax year. If an individual dies during the tax year this test does not apply. • Second automatic overseas test: resident in the UK for none of the three tax years preceding the tax year, spending fewer than 46 days in the UK in the tax year. • Third automatic overseas test: working full-time overseas over the tax year, without any significant breaks during the tax year from overseas work. For the third automatic test to apply the individual needs to spend fewer than 91 days in the UK in the tax year</w:t>
      </w:r>
      <w:r w:rsidR="00160A76">
        <w:rPr>
          <w:rFonts w:ascii="Arial" w:eastAsia="Arial" w:hAnsi="Arial" w:cs="Arial"/>
          <w:sz w:val="19"/>
        </w:rPr>
        <w:t>.</w:t>
      </w:r>
    </w:p>
    <w:p w14:paraId="599841EF" w14:textId="756B79C2" w:rsidR="00BD6DC7" w:rsidRDefault="00CC0BD5">
      <w:pPr>
        <w:numPr>
          <w:ilvl w:val="1"/>
          <w:numId w:val="1"/>
        </w:numPr>
        <w:spacing w:after="5" w:line="268" w:lineRule="auto"/>
        <w:ind w:right="98" w:hanging="425"/>
      </w:pPr>
      <w:r>
        <w:rPr>
          <w:rFonts w:ascii="Arial" w:eastAsia="Arial" w:hAnsi="Arial" w:cs="Arial"/>
          <w:sz w:val="19"/>
        </w:rPr>
        <w:t xml:space="preserve">Ordinary Residence </w:t>
      </w:r>
      <w:r w:rsidR="00160A76">
        <w:rPr>
          <w:rFonts w:ascii="Arial" w:eastAsia="Arial" w:hAnsi="Arial" w:cs="Arial"/>
          <w:sz w:val="19"/>
        </w:rPr>
        <w:t>-</w:t>
      </w:r>
      <w:r w:rsidR="00160A76" w:rsidRPr="00160A76">
        <w:rPr>
          <w:rFonts w:ascii="Arial" w:eastAsia="Arial" w:hAnsi="Arial" w:cs="Arial"/>
          <w:sz w:val="19"/>
        </w:rPr>
        <w:t>If resident in the UK year after year, an individual was treated as ordinarily resident here.</w:t>
      </w:r>
    </w:p>
    <w:p w14:paraId="41264245" w14:textId="7BBAB09B" w:rsidR="00BD6DC7" w:rsidRDefault="00CC0BD5">
      <w:pPr>
        <w:numPr>
          <w:ilvl w:val="1"/>
          <w:numId w:val="1"/>
        </w:numPr>
        <w:spacing w:after="5" w:line="268" w:lineRule="auto"/>
        <w:ind w:right="98" w:hanging="425"/>
      </w:pPr>
      <w:r>
        <w:rPr>
          <w:rFonts w:ascii="Arial" w:eastAsia="Arial" w:hAnsi="Arial" w:cs="Arial"/>
          <w:sz w:val="19"/>
        </w:rPr>
        <w:t xml:space="preserve">Domicile </w:t>
      </w:r>
      <w:r w:rsidR="00160A76">
        <w:rPr>
          <w:rFonts w:ascii="Arial" w:eastAsia="Arial" w:hAnsi="Arial" w:cs="Arial"/>
          <w:sz w:val="19"/>
        </w:rPr>
        <w:t>-</w:t>
      </w:r>
      <w:r w:rsidR="00160A76" w:rsidRPr="00160A76">
        <w:rPr>
          <w:rFonts w:ascii="Arial" w:eastAsia="Arial" w:hAnsi="Arial" w:cs="Arial"/>
          <w:sz w:val="19"/>
        </w:rPr>
        <w:t>For Income Tax and Capital Gains Tax purposes, whether or not an individual is domiciled in the UK may affect what UK tax is paid on any foreign income and gains during a tax year.</w:t>
      </w:r>
    </w:p>
    <w:p w14:paraId="73C91FBD" w14:textId="77777777" w:rsidR="00BD6DC7" w:rsidRDefault="00CC0BD5">
      <w:pPr>
        <w:spacing w:after="17"/>
        <w:ind w:left="427"/>
      </w:pPr>
      <w:r>
        <w:rPr>
          <w:rFonts w:ascii="Arial" w:eastAsia="Arial" w:hAnsi="Arial" w:cs="Arial"/>
          <w:sz w:val="19"/>
        </w:rPr>
        <w:lastRenderedPageBreak/>
        <w:t xml:space="preserve"> </w:t>
      </w:r>
    </w:p>
    <w:p w14:paraId="05D38B3A" w14:textId="77777777" w:rsidR="00BD6DC7" w:rsidRDefault="00CC0BD5">
      <w:pPr>
        <w:spacing w:after="5" w:line="268" w:lineRule="auto"/>
        <w:ind w:left="422" w:right="92" w:hanging="10"/>
      </w:pPr>
      <w:r>
        <w:rPr>
          <w:rFonts w:ascii="Arial" w:eastAsia="Arial" w:hAnsi="Arial" w:cs="Arial"/>
          <w:sz w:val="19"/>
        </w:rPr>
        <w:t xml:space="preserve">These should be linked to the concept of working abroad. </w:t>
      </w:r>
    </w:p>
    <w:p w14:paraId="1F90E366" w14:textId="77777777" w:rsidR="00BD6DC7" w:rsidRDefault="00CC0BD5">
      <w:pPr>
        <w:spacing w:after="17"/>
        <w:ind w:left="427"/>
      </w:pPr>
      <w:r>
        <w:rPr>
          <w:rFonts w:ascii="Arial" w:eastAsia="Arial" w:hAnsi="Arial" w:cs="Arial"/>
          <w:sz w:val="19"/>
        </w:rPr>
        <w:t xml:space="preserve"> </w:t>
      </w:r>
    </w:p>
    <w:p w14:paraId="147083CB" w14:textId="77777777" w:rsidR="00BD6DC7" w:rsidRDefault="00CC0BD5">
      <w:pPr>
        <w:spacing w:after="5" w:line="268" w:lineRule="auto"/>
        <w:ind w:left="422" w:right="92" w:hanging="10"/>
      </w:pPr>
      <w:r>
        <w:rPr>
          <w:rFonts w:ascii="Arial" w:eastAsia="Arial" w:hAnsi="Arial" w:cs="Arial"/>
          <w:sz w:val="19"/>
        </w:rPr>
        <w:t xml:space="preserve">This question is looking for a specified format, notes for use in a call and therefore answers could take the form of bullet points perhaps arranged under relevant headings. Two to three marks would be available for each category and the balance for format and coherence. </w:t>
      </w:r>
    </w:p>
    <w:p w14:paraId="3B7CBE04" w14:textId="77777777" w:rsidR="00BD6DC7" w:rsidRDefault="00CC0BD5">
      <w:pPr>
        <w:spacing w:after="17"/>
      </w:pPr>
      <w:r>
        <w:rPr>
          <w:rFonts w:ascii="Arial" w:eastAsia="Arial" w:hAnsi="Arial" w:cs="Arial"/>
          <w:sz w:val="19"/>
        </w:rPr>
        <w:t xml:space="preserve"> </w:t>
      </w:r>
    </w:p>
    <w:p w14:paraId="3B926CEE" w14:textId="77777777" w:rsidR="00BD6DC7" w:rsidRDefault="00CC0BD5">
      <w:pPr>
        <w:spacing w:after="5" w:line="268" w:lineRule="auto"/>
        <w:ind w:left="422" w:right="92" w:hanging="10"/>
      </w:pPr>
      <w:r>
        <w:rPr>
          <w:rFonts w:ascii="Arial" w:eastAsia="Arial" w:hAnsi="Arial" w:cs="Arial"/>
          <w:sz w:val="19"/>
        </w:rPr>
        <w:t xml:space="preserve">Relevant sections of the manual are Part 2 Chapter 1.2, 1.6 and 1.7. </w:t>
      </w:r>
    </w:p>
    <w:p w14:paraId="7B69B941" w14:textId="77777777" w:rsidR="00BD6DC7" w:rsidRDefault="00CC0BD5">
      <w:pPr>
        <w:spacing w:after="17"/>
      </w:pPr>
      <w:r>
        <w:rPr>
          <w:rFonts w:ascii="Arial" w:eastAsia="Arial" w:hAnsi="Arial" w:cs="Arial"/>
          <w:b/>
          <w:sz w:val="19"/>
        </w:rPr>
        <w:t xml:space="preserve"> </w:t>
      </w:r>
    </w:p>
    <w:p w14:paraId="21F4E7CE" w14:textId="77777777" w:rsidR="00BD6DC7" w:rsidRDefault="00CC0BD5">
      <w:pPr>
        <w:numPr>
          <w:ilvl w:val="2"/>
          <w:numId w:val="1"/>
        </w:numPr>
        <w:spacing w:after="15"/>
        <w:ind w:right="-7" w:hanging="264"/>
      </w:pPr>
      <w:r>
        <w:rPr>
          <w:rFonts w:ascii="Arial" w:eastAsia="Arial" w:hAnsi="Arial" w:cs="Arial"/>
          <w:b/>
          <w:sz w:val="19"/>
        </w:rPr>
        <w:t xml:space="preserve">marks </w:t>
      </w:r>
    </w:p>
    <w:p w14:paraId="4B6D809C" w14:textId="77777777" w:rsidR="00BD6DC7" w:rsidRDefault="00CC0BD5">
      <w:pPr>
        <w:numPr>
          <w:ilvl w:val="0"/>
          <w:numId w:val="1"/>
        </w:numPr>
        <w:spacing w:after="11" w:line="269" w:lineRule="auto"/>
        <w:ind w:hanging="427"/>
      </w:pPr>
      <w:r>
        <w:rPr>
          <w:rFonts w:ascii="Arial" w:eastAsia="Arial" w:hAnsi="Arial" w:cs="Arial"/>
          <w:b/>
          <w:sz w:val="19"/>
        </w:rPr>
        <w:t xml:space="preserve">Write short notes on: </w:t>
      </w:r>
    </w:p>
    <w:p w14:paraId="42EBB20B" w14:textId="77777777" w:rsidR="00BD6DC7" w:rsidRDefault="00CC0BD5">
      <w:pPr>
        <w:spacing w:after="216"/>
        <w:ind w:left="720"/>
      </w:pPr>
      <w:r>
        <w:rPr>
          <w:rFonts w:ascii="Arial" w:eastAsia="Arial" w:hAnsi="Arial" w:cs="Arial"/>
          <w:b/>
          <w:sz w:val="19"/>
        </w:rPr>
        <w:t xml:space="preserve"> </w:t>
      </w:r>
    </w:p>
    <w:p w14:paraId="671A33E0" w14:textId="77777777" w:rsidR="00BD6DC7" w:rsidRDefault="00CC0BD5">
      <w:pPr>
        <w:numPr>
          <w:ilvl w:val="1"/>
          <w:numId w:val="2"/>
        </w:numPr>
        <w:spacing w:after="11" w:line="269" w:lineRule="auto"/>
        <w:ind w:hanging="425"/>
      </w:pPr>
      <w:r>
        <w:rPr>
          <w:rFonts w:ascii="Arial" w:eastAsia="Arial" w:hAnsi="Arial" w:cs="Arial"/>
          <w:b/>
          <w:sz w:val="19"/>
        </w:rPr>
        <w:t xml:space="preserve">taxable benefits in kind </w:t>
      </w:r>
    </w:p>
    <w:p w14:paraId="7344F715" w14:textId="77777777" w:rsidR="00BD6DC7" w:rsidRDefault="00CC0BD5">
      <w:pPr>
        <w:numPr>
          <w:ilvl w:val="1"/>
          <w:numId w:val="2"/>
        </w:numPr>
        <w:spacing w:after="208" w:line="269" w:lineRule="auto"/>
        <w:ind w:hanging="425"/>
      </w:pPr>
      <w:r>
        <w:rPr>
          <w:rFonts w:ascii="Arial" w:eastAsia="Arial" w:hAnsi="Arial" w:cs="Arial"/>
          <w:b/>
          <w:sz w:val="19"/>
        </w:rPr>
        <w:t xml:space="preserve">tax free benefits in kind. </w:t>
      </w:r>
    </w:p>
    <w:p w14:paraId="37C7D13F" w14:textId="77777777" w:rsidR="00BD6DC7" w:rsidRDefault="00CC0BD5">
      <w:pPr>
        <w:spacing w:after="15"/>
        <w:ind w:left="10" w:right="-15" w:hanging="10"/>
        <w:jc w:val="right"/>
      </w:pPr>
      <w:r>
        <w:rPr>
          <w:rFonts w:ascii="Arial" w:eastAsia="Arial" w:hAnsi="Arial" w:cs="Arial"/>
          <w:b/>
          <w:sz w:val="19"/>
        </w:rPr>
        <w:t xml:space="preserve">10 marks </w:t>
      </w:r>
    </w:p>
    <w:p w14:paraId="07B33807" w14:textId="77777777" w:rsidR="00BD6DC7" w:rsidRDefault="00CC0BD5">
      <w:pPr>
        <w:spacing w:after="17"/>
      </w:pPr>
      <w:r>
        <w:rPr>
          <w:rFonts w:ascii="Arial" w:eastAsia="Arial" w:hAnsi="Arial" w:cs="Arial"/>
          <w:sz w:val="19"/>
        </w:rPr>
        <w:t xml:space="preserve"> </w:t>
      </w:r>
    </w:p>
    <w:p w14:paraId="01792BBB" w14:textId="77777777" w:rsidR="00BD6DC7" w:rsidRDefault="00CC0BD5">
      <w:pPr>
        <w:spacing w:after="5" w:line="268" w:lineRule="auto"/>
        <w:ind w:left="422" w:right="92" w:hanging="10"/>
      </w:pPr>
      <w:r>
        <w:rPr>
          <w:rFonts w:ascii="Arial" w:eastAsia="Arial" w:hAnsi="Arial" w:cs="Arial"/>
          <w:sz w:val="19"/>
        </w:rPr>
        <w:t xml:space="preserve">This question is literally seeking notes on the two types of benefits, approximately 5 marks for each. </w:t>
      </w:r>
    </w:p>
    <w:p w14:paraId="208F477A" w14:textId="77777777" w:rsidR="00BD6DC7" w:rsidRDefault="00CC0BD5">
      <w:pPr>
        <w:spacing w:after="14"/>
        <w:ind w:left="427"/>
      </w:pPr>
      <w:r>
        <w:rPr>
          <w:rFonts w:ascii="Arial" w:eastAsia="Arial" w:hAnsi="Arial" w:cs="Arial"/>
          <w:sz w:val="19"/>
        </w:rPr>
        <w:t xml:space="preserve"> </w:t>
      </w:r>
    </w:p>
    <w:p w14:paraId="4C0531D2" w14:textId="77777777" w:rsidR="006A3BDC" w:rsidRDefault="00CC0BD5">
      <w:pPr>
        <w:spacing w:after="5" w:line="268" w:lineRule="auto"/>
        <w:ind w:left="422" w:right="92" w:hanging="10"/>
        <w:rPr>
          <w:rFonts w:ascii="Arial" w:eastAsia="Arial" w:hAnsi="Arial" w:cs="Arial"/>
          <w:sz w:val="19"/>
        </w:rPr>
      </w:pPr>
      <w:r>
        <w:rPr>
          <w:rFonts w:ascii="Arial" w:eastAsia="Arial" w:hAnsi="Arial" w:cs="Arial"/>
          <w:sz w:val="19"/>
        </w:rPr>
        <w:t>Answers should include and explanation of benefits in kind: Benefits in kind are perks provided by an employer as part of an overall remuneration package</w:t>
      </w:r>
      <w:r w:rsidR="006A3BDC">
        <w:rPr>
          <w:rFonts w:ascii="Arial" w:eastAsia="Arial" w:hAnsi="Arial" w:cs="Arial"/>
          <w:sz w:val="19"/>
        </w:rPr>
        <w:t>.</w:t>
      </w:r>
    </w:p>
    <w:p w14:paraId="33B5E30C" w14:textId="59F65871" w:rsidR="00BD6DC7" w:rsidRDefault="006A3BDC">
      <w:pPr>
        <w:spacing w:after="5" w:line="268" w:lineRule="auto"/>
        <w:ind w:left="422" w:right="92" w:hanging="10"/>
      </w:pPr>
      <w:r w:rsidRPr="006A3BDC">
        <w:rPr>
          <w:rFonts w:ascii="Arial" w:eastAsia="Arial" w:hAnsi="Arial" w:cs="Arial"/>
          <w:sz w:val="19"/>
        </w:rPr>
        <w:t xml:space="preserve"> Benefits in Kind Benefits in kind are perks provided by an employer to an employee as part of the overall remuneration package. Benefits are treated as employment income</w:t>
      </w:r>
      <w:r>
        <w:rPr>
          <w:rFonts w:ascii="Arial" w:eastAsia="Arial" w:hAnsi="Arial" w:cs="Arial"/>
          <w:sz w:val="19"/>
        </w:rPr>
        <w:t>.</w:t>
      </w:r>
    </w:p>
    <w:p w14:paraId="63D40C86" w14:textId="77777777" w:rsidR="00BD6DC7" w:rsidRDefault="00CC0BD5">
      <w:pPr>
        <w:spacing w:after="17"/>
        <w:ind w:left="427"/>
      </w:pPr>
      <w:r>
        <w:rPr>
          <w:rFonts w:ascii="Arial" w:eastAsia="Arial" w:hAnsi="Arial" w:cs="Arial"/>
          <w:sz w:val="19"/>
        </w:rPr>
        <w:t xml:space="preserve"> </w:t>
      </w:r>
    </w:p>
    <w:p w14:paraId="2DEE1AFF" w14:textId="77777777" w:rsidR="006A3BDC" w:rsidRDefault="00CC0BD5">
      <w:pPr>
        <w:spacing w:after="5" w:line="268" w:lineRule="auto"/>
        <w:ind w:left="422" w:right="92" w:hanging="10"/>
        <w:rPr>
          <w:rFonts w:ascii="Arial" w:eastAsia="Arial" w:hAnsi="Arial" w:cs="Arial"/>
          <w:sz w:val="19"/>
        </w:rPr>
      </w:pPr>
      <w:r>
        <w:rPr>
          <w:rFonts w:ascii="Arial" w:eastAsia="Arial" w:hAnsi="Arial" w:cs="Arial"/>
          <w:sz w:val="19"/>
        </w:rPr>
        <w:t xml:space="preserve">Examples of taxable and </w:t>
      </w:r>
      <w:r w:rsidR="00160A76">
        <w:rPr>
          <w:rFonts w:ascii="Arial" w:eastAsia="Arial" w:hAnsi="Arial" w:cs="Arial"/>
          <w:sz w:val="19"/>
        </w:rPr>
        <w:t>tax-free</w:t>
      </w:r>
      <w:r>
        <w:rPr>
          <w:rFonts w:ascii="Arial" w:eastAsia="Arial" w:hAnsi="Arial" w:cs="Arial"/>
          <w:sz w:val="19"/>
        </w:rPr>
        <w:t xml:space="preserve"> benefits should be included as well as the tax treatment of such benefits.  A full answer might include comment on the use of salary sacrifice. </w:t>
      </w:r>
    </w:p>
    <w:p w14:paraId="0518E0BF" w14:textId="77777777" w:rsidR="006A3BDC" w:rsidRDefault="006A3BDC">
      <w:pPr>
        <w:spacing w:after="5" w:line="268" w:lineRule="auto"/>
        <w:ind w:left="422" w:right="92" w:hanging="10"/>
        <w:rPr>
          <w:rFonts w:ascii="Arial" w:eastAsia="Arial" w:hAnsi="Arial" w:cs="Arial"/>
          <w:sz w:val="19"/>
        </w:rPr>
      </w:pPr>
      <w:r>
        <w:rPr>
          <w:rFonts w:ascii="Arial" w:eastAsia="Arial" w:hAnsi="Arial" w:cs="Arial"/>
          <w:sz w:val="19"/>
        </w:rPr>
        <w:t>Taxable benefits</w:t>
      </w:r>
    </w:p>
    <w:p w14:paraId="1A920AF5" w14:textId="68CD8C02" w:rsidR="006A3BDC" w:rsidRDefault="006A3BDC">
      <w:pPr>
        <w:spacing w:after="5" w:line="268" w:lineRule="auto"/>
        <w:ind w:left="422" w:right="92" w:hanging="10"/>
        <w:rPr>
          <w:rFonts w:ascii="Arial" w:eastAsia="Arial" w:hAnsi="Arial" w:cs="Arial"/>
          <w:sz w:val="19"/>
        </w:rPr>
      </w:pPr>
      <w:r w:rsidRPr="006A3BDC">
        <w:rPr>
          <w:rFonts w:ascii="Arial" w:eastAsia="Arial" w:hAnsi="Arial" w:cs="Arial"/>
          <w:sz w:val="19"/>
        </w:rPr>
        <w:t xml:space="preserve">• the provision of living or other accommodation, including light, heat, council tax and domestic or other services (unless essential to do job e.g., caretaker) </w:t>
      </w:r>
    </w:p>
    <w:p w14:paraId="58A17E7E" w14:textId="1736A7F9" w:rsidR="006A3BDC" w:rsidRDefault="006A3BDC">
      <w:pPr>
        <w:spacing w:after="5" w:line="268" w:lineRule="auto"/>
        <w:ind w:left="422" w:right="92" w:hanging="10"/>
        <w:rPr>
          <w:rFonts w:ascii="Arial" w:eastAsia="Arial" w:hAnsi="Arial" w:cs="Arial"/>
          <w:sz w:val="19"/>
        </w:rPr>
      </w:pPr>
      <w:r w:rsidRPr="006A3BDC">
        <w:rPr>
          <w:rFonts w:ascii="Arial" w:eastAsia="Arial" w:hAnsi="Arial" w:cs="Arial"/>
          <w:sz w:val="19"/>
        </w:rPr>
        <w:t>• the use of any asset provided by the employer or another person acting on the employer’s behalf, for example the use of a motorcycle, equipment, furniture, or a TV set</w:t>
      </w:r>
    </w:p>
    <w:p w14:paraId="18E77233" w14:textId="6C3870F4" w:rsidR="006A3BDC" w:rsidRDefault="006A3BDC" w:rsidP="006A3BDC">
      <w:pPr>
        <w:spacing w:after="5" w:line="268" w:lineRule="auto"/>
        <w:ind w:left="422" w:right="92" w:hanging="10"/>
        <w:rPr>
          <w:rFonts w:ascii="Arial" w:eastAsia="Arial" w:hAnsi="Arial" w:cs="Arial"/>
          <w:sz w:val="19"/>
        </w:rPr>
      </w:pPr>
      <w:r>
        <w:rPr>
          <w:rFonts w:ascii="Arial" w:eastAsia="Arial" w:hAnsi="Arial" w:cs="Arial"/>
          <w:sz w:val="19"/>
        </w:rPr>
        <w:t>Non-taxable benefits</w:t>
      </w:r>
    </w:p>
    <w:p w14:paraId="0B1E29C1" w14:textId="77777777" w:rsidR="006A3BDC" w:rsidRDefault="006A3BDC">
      <w:pPr>
        <w:spacing w:after="5" w:line="268" w:lineRule="auto"/>
        <w:ind w:left="422" w:right="92" w:hanging="10"/>
        <w:rPr>
          <w:rFonts w:ascii="Arial" w:eastAsia="Arial" w:hAnsi="Arial" w:cs="Arial"/>
          <w:sz w:val="19"/>
        </w:rPr>
      </w:pPr>
      <w:r w:rsidRPr="006A3BDC">
        <w:rPr>
          <w:rFonts w:ascii="Arial" w:eastAsia="Arial" w:hAnsi="Arial" w:cs="Arial"/>
          <w:sz w:val="19"/>
        </w:rPr>
        <w:t xml:space="preserve">• Free or subsidised meals </w:t>
      </w:r>
    </w:p>
    <w:p w14:paraId="3BA753D9" w14:textId="77777777" w:rsidR="006A3BDC" w:rsidRDefault="006A3BDC">
      <w:pPr>
        <w:spacing w:after="5" w:line="268" w:lineRule="auto"/>
        <w:ind w:left="422" w:right="92" w:hanging="10"/>
        <w:rPr>
          <w:rFonts w:ascii="Arial" w:eastAsia="Arial" w:hAnsi="Arial" w:cs="Arial"/>
          <w:sz w:val="19"/>
        </w:rPr>
      </w:pPr>
      <w:r w:rsidRPr="006A3BDC">
        <w:rPr>
          <w:rFonts w:ascii="Arial" w:eastAsia="Arial" w:hAnsi="Arial" w:cs="Arial"/>
          <w:sz w:val="19"/>
        </w:rPr>
        <w:t xml:space="preserve">• Meal vouchers </w:t>
      </w:r>
    </w:p>
    <w:p w14:paraId="58F16BF9" w14:textId="1F347CE0" w:rsidR="00BD6DC7" w:rsidRDefault="006A3BDC">
      <w:pPr>
        <w:spacing w:after="5" w:line="268" w:lineRule="auto"/>
        <w:ind w:left="422" w:right="92" w:hanging="10"/>
      </w:pPr>
      <w:r w:rsidRPr="006A3BDC">
        <w:rPr>
          <w:rFonts w:ascii="Arial" w:eastAsia="Arial" w:hAnsi="Arial" w:cs="Arial"/>
          <w:sz w:val="19"/>
        </w:rPr>
        <w:t>• Expenses of providing a pension</w:t>
      </w:r>
    </w:p>
    <w:p w14:paraId="40C81835" w14:textId="77777777" w:rsidR="00BD6DC7" w:rsidRDefault="00CC0BD5">
      <w:pPr>
        <w:spacing w:after="17"/>
      </w:pPr>
      <w:r>
        <w:rPr>
          <w:rFonts w:ascii="Arial" w:eastAsia="Arial" w:hAnsi="Arial" w:cs="Arial"/>
          <w:sz w:val="19"/>
        </w:rPr>
        <w:t xml:space="preserve"> </w:t>
      </w:r>
    </w:p>
    <w:p w14:paraId="5755808B" w14:textId="77777777" w:rsidR="00BD6DC7" w:rsidRDefault="00CC0BD5">
      <w:pPr>
        <w:spacing w:after="5" w:line="268" w:lineRule="auto"/>
        <w:ind w:left="422" w:right="92" w:hanging="10"/>
      </w:pPr>
      <w:r>
        <w:rPr>
          <w:rFonts w:ascii="Arial" w:eastAsia="Arial" w:hAnsi="Arial" w:cs="Arial"/>
          <w:sz w:val="19"/>
        </w:rPr>
        <w:t xml:space="preserve">Relevant sections of the manual are Part 2 Chapter 1.5.2 and 1.5.3. </w:t>
      </w:r>
    </w:p>
    <w:p w14:paraId="063145CB" w14:textId="77777777" w:rsidR="00BD6DC7" w:rsidRDefault="00CC0BD5">
      <w:pPr>
        <w:spacing w:after="14"/>
      </w:pPr>
      <w:r>
        <w:rPr>
          <w:rFonts w:ascii="Arial" w:eastAsia="Arial" w:hAnsi="Arial" w:cs="Arial"/>
          <w:sz w:val="19"/>
        </w:rPr>
        <w:t xml:space="preserve"> </w:t>
      </w:r>
    </w:p>
    <w:p w14:paraId="2B4F2270" w14:textId="77777777" w:rsidR="00BD6DC7" w:rsidRDefault="00CC0BD5">
      <w:pPr>
        <w:spacing w:after="15"/>
        <w:ind w:left="10" w:right="-15" w:hanging="10"/>
        <w:jc w:val="right"/>
      </w:pPr>
      <w:r>
        <w:rPr>
          <w:rFonts w:ascii="Arial" w:eastAsia="Arial" w:hAnsi="Arial" w:cs="Arial"/>
          <w:b/>
          <w:sz w:val="19"/>
        </w:rPr>
        <w:t xml:space="preserve">10 marks </w:t>
      </w:r>
    </w:p>
    <w:p w14:paraId="15E8E42D" w14:textId="77777777" w:rsidR="00BD6DC7" w:rsidRDefault="00CC0BD5">
      <w:pPr>
        <w:spacing w:after="0" w:line="277" w:lineRule="auto"/>
        <w:ind w:right="1702"/>
        <w:jc w:val="both"/>
      </w:pPr>
      <w:r>
        <w:rPr>
          <w:rFonts w:ascii="Arial" w:eastAsia="Arial" w:hAnsi="Arial" w:cs="Arial"/>
          <w:b/>
          <w:sz w:val="19"/>
        </w:rPr>
        <w:t xml:space="preserve">  </w:t>
      </w:r>
      <w:r>
        <w:rPr>
          <w:rFonts w:ascii="Arial" w:eastAsia="Arial" w:hAnsi="Arial" w:cs="Arial"/>
          <w:b/>
          <w:sz w:val="19"/>
        </w:rPr>
        <w:tab/>
        <w:t xml:space="preserve"> </w:t>
      </w:r>
    </w:p>
    <w:p w14:paraId="228662BF" w14:textId="77777777" w:rsidR="00BD6DC7" w:rsidRDefault="00CC0BD5">
      <w:pPr>
        <w:numPr>
          <w:ilvl w:val="0"/>
          <w:numId w:val="1"/>
        </w:numPr>
        <w:spacing w:after="11" w:line="269" w:lineRule="auto"/>
        <w:ind w:hanging="427"/>
      </w:pPr>
      <w:r>
        <w:rPr>
          <w:rFonts w:ascii="Arial" w:eastAsia="Arial" w:hAnsi="Arial" w:cs="Arial"/>
          <w:b/>
          <w:sz w:val="19"/>
        </w:rPr>
        <w:t xml:space="preserve">In connection with Inheritance Tax, describe the differences between an Exempt Transfer and a Potentially Exempt Transfer.  Illustrate your description with an example. </w:t>
      </w:r>
    </w:p>
    <w:p w14:paraId="18870F68" w14:textId="77777777" w:rsidR="00BD6DC7" w:rsidRDefault="00CC0BD5">
      <w:pPr>
        <w:spacing w:after="11" w:line="269" w:lineRule="auto"/>
        <w:ind w:left="8143" w:hanging="10"/>
      </w:pPr>
      <w:r>
        <w:rPr>
          <w:rFonts w:ascii="Arial" w:eastAsia="Arial" w:hAnsi="Arial" w:cs="Arial"/>
          <w:b/>
          <w:sz w:val="19"/>
        </w:rPr>
        <w:t xml:space="preserve">20 marks </w:t>
      </w:r>
    </w:p>
    <w:p w14:paraId="1066D057" w14:textId="77777777" w:rsidR="00BD6DC7" w:rsidRDefault="00CC0BD5">
      <w:pPr>
        <w:spacing w:after="17"/>
      </w:pPr>
      <w:r>
        <w:rPr>
          <w:rFonts w:ascii="Arial" w:eastAsia="Arial" w:hAnsi="Arial" w:cs="Arial"/>
          <w:sz w:val="19"/>
        </w:rPr>
        <w:t xml:space="preserve"> </w:t>
      </w:r>
    </w:p>
    <w:p w14:paraId="53535EFD" w14:textId="77777777" w:rsidR="00BD6DC7" w:rsidRDefault="00CC0BD5">
      <w:pPr>
        <w:spacing w:after="5" w:line="268" w:lineRule="auto"/>
        <w:ind w:left="422" w:right="92" w:hanging="10"/>
      </w:pPr>
      <w:r>
        <w:rPr>
          <w:rFonts w:ascii="Arial" w:eastAsia="Arial" w:hAnsi="Arial" w:cs="Arial"/>
          <w:sz w:val="19"/>
        </w:rPr>
        <w:lastRenderedPageBreak/>
        <w:t xml:space="preserve">A full answer should begin with a brief explanation of Inheritance Tax to provide the context for answering the specific question.  The definition of an exempt transfer and a potentially exempt transfer are found within the study manual and up to 5 marks would be available for defining each correctly. A further 5 marks are available for explaining the difference between them. </w:t>
      </w:r>
    </w:p>
    <w:p w14:paraId="406FF164" w14:textId="77777777" w:rsidR="00BD6DC7" w:rsidRDefault="00CC0BD5">
      <w:pPr>
        <w:spacing w:after="14"/>
        <w:ind w:left="427"/>
      </w:pPr>
      <w:r>
        <w:rPr>
          <w:rFonts w:ascii="Arial" w:eastAsia="Arial" w:hAnsi="Arial" w:cs="Arial"/>
          <w:sz w:val="19"/>
        </w:rPr>
        <w:t xml:space="preserve"> </w:t>
      </w:r>
    </w:p>
    <w:p w14:paraId="73AA2BDC" w14:textId="77777777" w:rsidR="00651077" w:rsidRDefault="00CC0BD5">
      <w:pPr>
        <w:spacing w:after="5" w:line="268" w:lineRule="auto"/>
        <w:ind w:left="422" w:right="92" w:hanging="10"/>
        <w:rPr>
          <w:rFonts w:ascii="Arial" w:eastAsia="Arial" w:hAnsi="Arial" w:cs="Arial"/>
          <w:sz w:val="19"/>
        </w:rPr>
      </w:pPr>
      <w:r>
        <w:rPr>
          <w:rFonts w:ascii="Arial" w:eastAsia="Arial" w:hAnsi="Arial" w:cs="Arial"/>
          <w:sz w:val="19"/>
        </w:rPr>
        <w:t xml:space="preserve">This question asks for an </w:t>
      </w:r>
      <w:r w:rsidR="006A3BDC">
        <w:rPr>
          <w:rFonts w:ascii="Arial" w:eastAsia="Arial" w:hAnsi="Arial" w:cs="Arial"/>
          <w:sz w:val="19"/>
        </w:rPr>
        <w:t>example,</w:t>
      </w:r>
      <w:r>
        <w:rPr>
          <w:rFonts w:ascii="Arial" w:eastAsia="Arial" w:hAnsi="Arial" w:cs="Arial"/>
          <w:sz w:val="19"/>
        </w:rPr>
        <w:t xml:space="preserve"> and one should be provided worth up to 5 marks.</w:t>
      </w:r>
    </w:p>
    <w:p w14:paraId="5528F5C9" w14:textId="77777777" w:rsidR="00651077" w:rsidRDefault="00651077">
      <w:pPr>
        <w:spacing w:after="5" w:line="268" w:lineRule="auto"/>
        <w:ind w:left="422" w:right="92" w:hanging="10"/>
        <w:rPr>
          <w:rFonts w:ascii="Arial" w:eastAsia="Arial" w:hAnsi="Arial" w:cs="Arial"/>
          <w:sz w:val="19"/>
        </w:rPr>
      </w:pPr>
    </w:p>
    <w:p w14:paraId="2E3079F8" w14:textId="4AD71359" w:rsidR="00651077" w:rsidRDefault="00651077">
      <w:pPr>
        <w:spacing w:after="5" w:line="268" w:lineRule="auto"/>
        <w:ind w:left="422" w:right="92" w:hanging="10"/>
        <w:rPr>
          <w:rFonts w:ascii="Arial" w:eastAsia="Arial" w:hAnsi="Arial" w:cs="Arial"/>
          <w:sz w:val="19"/>
        </w:rPr>
      </w:pPr>
      <w:r w:rsidRPr="00651077">
        <w:rPr>
          <w:rFonts w:ascii="Arial" w:eastAsia="Arial" w:hAnsi="Arial" w:cs="Arial"/>
          <w:sz w:val="19"/>
        </w:rPr>
        <w:t>Exempt Transfers</w:t>
      </w:r>
      <w:r>
        <w:rPr>
          <w:rFonts w:ascii="Arial" w:eastAsia="Arial" w:hAnsi="Arial" w:cs="Arial"/>
          <w:sz w:val="19"/>
        </w:rPr>
        <w:t xml:space="preserve"> -</w:t>
      </w:r>
      <w:r w:rsidRPr="00651077">
        <w:rPr>
          <w:rFonts w:ascii="Arial" w:eastAsia="Arial" w:hAnsi="Arial" w:cs="Arial"/>
          <w:sz w:val="19"/>
        </w:rPr>
        <w:t xml:space="preserve"> Certain transactions and gifts, regardless of the type of property they are, are not regarded as transfers of value. Hence even when a transfer of property which is not excluded property takes place, exempt transfers do not attract IHT.</w:t>
      </w:r>
      <w:r w:rsidRPr="00651077">
        <w:t xml:space="preserve"> </w:t>
      </w:r>
      <w:r>
        <w:rPr>
          <w:rFonts w:ascii="Arial" w:eastAsia="Arial" w:hAnsi="Arial" w:cs="Arial"/>
          <w:sz w:val="19"/>
        </w:rPr>
        <w:t>S</w:t>
      </w:r>
      <w:r w:rsidRPr="00651077">
        <w:rPr>
          <w:rFonts w:ascii="Arial" w:eastAsia="Arial" w:hAnsi="Arial" w:cs="Arial"/>
          <w:sz w:val="19"/>
        </w:rPr>
        <w:t>mall gifts exemption – any number of gifts is allowed up to a value of £250 per fiscal year per person (but not for anyone who has received the £3,000 annual exemption amount) • gifts made in consideration of marriage, provided the value of the gift does not exceed £</w:t>
      </w:r>
      <w:proofErr w:type="gramStart"/>
      <w:r w:rsidRPr="00651077">
        <w:rPr>
          <w:rFonts w:ascii="Arial" w:eastAsia="Arial" w:hAnsi="Arial" w:cs="Arial"/>
          <w:sz w:val="19"/>
        </w:rPr>
        <w:t>5,000.This</w:t>
      </w:r>
      <w:proofErr w:type="gramEnd"/>
      <w:r w:rsidRPr="00651077">
        <w:rPr>
          <w:rFonts w:ascii="Arial" w:eastAsia="Arial" w:hAnsi="Arial" w:cs="Arial"/>
          <w:sz w:val="19"/>
        </w:rPr>
        <w:t xml:space="preserve"> includes outright gifts by a parent to a party to a marriage</w:t>
      </w:r>
    </w:p>
    <w:p w14:paraId="39C7E1D0" w14:textId="77777777" w:rsidR="00651077" w:rsidRDefault="00651077">
      <w:pPr>
        <w:spacing w:after="5" w:line="268" w:lineRule="auto"/>
        <w:ind w:left="422" w:right="92" w:hanging="10"/>
        <w:rPr>
          <w:rFonts w:ascii="Arial" w:eastAsia="Arial" w:hAnsi="Arial" w:cs="Arial"/>
          <w:sz w:val="19"/>
        </w:rPr>
      </w:pPr>
    </w:p>
    <w:p w14:paraId="3CDF729C" w14:textId="77777777" w:rsidR="00651077" w:rsidRDefault="00651077">
      <w:pPr>
        <w:spacing w:after="5" w:line="268" w:lineRule="auto"/>
        <w:ind w:left="422" w:right="92" w:hanging="10"/>
      </w:pPr>
      <w:r w:rsidRPr="00651077">
        <w:rPr>
          <w:rFonts w:ascii="Arial" w:eastAsia="Arial" w:hAnsi="Arial" w:cs="Arial"/>
          <w:sz w:val="19"/>
        </w:rPr>
        <w:t>A Potentially Exempt Transfer is a lifetime transfer of value made by an individual on or after 18 March 1986 comprising one of the following: • a gift to another individual • a transfer into a trust for the disabled which is not otherwise covered by an exemption.</w:t>
      </w:r>
      <w:r w:rsidRPr="00651077">
        <w:t xml:space="preserve"> </w:t>
      </w:r>
    </w:p>
    <w:p w14:paraId="0B47CFB2" w14:textId="727991E8" w:rsidR="00651077" w:rsidRDefault="00651077">
      <w:pPr>
        <w:spacing w:after="5" w:line="268" w:lineRule="auto"/>
        <w:ind w:left="422" w:right="92" w:hanging="10"/>
        <w:rPr>
          <w:rFonts w:ascii="Arial" w:eastAsia="Arial" w:hAnsi="Arial" w:cs="Arial"/>
          <w:sz w:val="19"/>
        </w:rPr>
      </w:pPr>
      <w:r w:rsidRPr="00651077">
        <w:rPr>
          <w:rFonts w:ascii="Arial" w:eastAsia="Arial" w:hAnsi="Arial" w:cs="Arial"/>
          <w:sz w:val="19"/>
        </w:rPr>
        <w:t>PETs are exempt transfers unless the transferor dies within seven years. As a result, there is no liability to IHT at the time of the transfer. If the transferor dies within seven years, the gift becomes taxable and treated as made at the time of the original transfer but with the rates of tax at the date of death being applied, subject to a tapering relief depending on the number of years between gift and death</w:t>
      </w:r>
    </w:p>
    <w:p w14:paraId="21F410D2" w14:textId="77777777" w:rsidR="00651077" w:rsidRDefault="00651077">
      <w:pPr>
        <w:spacing w:after="5" w:line="268" w:lineRule="auto"/>
        <w:ind w:left="422" w:right="92" w:hanging="10"/>
        <w:rPr>
          <w:rFonts w:ascii="Arial" w:eastAsia="Arial" w:hAnsi="Arial" w:cs="Arial"/>
          <w:sz w:val="19"/>
        </w:rPr>
      </w:pPr>
    </w:p>
    <w:p w14:paraId="218C6F3C" w14:textId="5CF79AA2" w:rsidR="00BD6DC7" w:rsidRDefault="00CC0BD5">
      <w:pPr>
        <w:spacing w:after="5" w:line="268" w:lineRule="auto"/>
        <w:ind w:left="422" w:right="92" w:hanging="10"/>
      </w:pPr>
      <w:r>
        <w:rPr>
          <w:rFonts w:ascii="Arial" w:eastAsia="Arial" w:hAnsi="Arial" w:cs="Arial"/>
          <w:sz w:val="19"/>
        </w:rPr>
        <w:t xml:space="preserve"> </w:t>
      </w:r>
    </w:p>
    <w:p w14:paraId="23940579" w14:textId="77777777" w:rsidR="00BD6DC7" w:rsidRDefault="00CC0BD5">
      <w:pPr>
        <w:spacing w:after="17"/>
      </w:pPr>
      <w:r>
        <w:rPr>
          <w:rFonts w:ascii="Arial" w:eastAsia="Arial" w:hAnsi="Arial" w:cs="Arial"/>
          <w:sz w:val="19"/>
        </w:rPr>
        <w:t xml:space="preserve"> </w:t>
      </w:r>
    </w:p>
    <w:p w14:paraId="00A2C109" w14:textId="77777777" w:rsidR="00BD6DC7" w:rsidRDefault="00CC0BD5">
      <w:pPr>
        <w:spacing w:after="5" w:line="268" w:lineRule="auto"/>
        <w:ind w:left="422" w:right="92" w:hanging="10"/>
      </w:pPr>
      <w:r>
        <w:rPr>
          <w:rFonts w:ascii="Arial" w:eastAsia="Arial" w:hAnsi="Arial" w:cs="Arial"/>
          <w:sz w:val="19"/>
        </w:rPr>
        <w:t xml:space="preserve">Relevant sections of the manual are Part 2 Chapter 4.2.5 and 4.2.7. </w:t>
      </w:r>
    </w:p>
    <w:p w14:paraId="7ED43415" w14:textId="77777777" w:rsidR="00BD6DC7" w:rsidRDefault="00CC0BD5">
      <w:pPr>
        <w:spacing w:after="11" w:line="269" w:lineRule="auto"/>
        <w:ind w:left="8143" w:hanging="10"/>
      </w:pPr>
      <w:r>
        <w:rPr>
          <w:rFonts w:ascii="Arial" w:eastAsia="Arial" w:hAnsi="Arial" w:cs="Arial"/>
          <w:b/>
          <w:sz w:val="19"/>
        </w:rPr>
        <w:t xml:space="preserve">20 marks </w:t>
      </w:r>
    </w:p>
    <w:p w14:paraId="2DDF0437" w14:textId="77777777" w:rsidR="00BD6DC7" w:rsidRDefault="00CC0BD5">
      <w:pPr>
        <w:spacing w:after="31"/>
        <w:ind w:left="7201"/>
      </w:pPr>
      <w:r>
        <w:rPr>
          <w:rFonts w:ascii="Arial" w:eastAsia="Arial" w:hAnsi="Arial" w:cs="Arial"/>
          <w:b/>
          <w:sz w:val="19"/>
        </w:rPr>
        <w:t xml:space="preserve"> </w:t>
      </w:r>
    </w:p>
    <w:p w14:paraId="5FB1774A" w14:textId="77777777" w:rsidR="00BD6DC7" w:rsidRDefault="00CC0BD5">
      <w:pPr>
        <w:numPr>
          <w:ilvl w:val="0"/>
          <w:numId w:val="1"/>
        </w:numPr>
        <w:spacing w:after="11" w:line="269" w:lineRule="auto"/>
        <w:ind w:hanging="427"/>
      </w:pPr>
      <w:r>
        <w:rPr>
          <w:rFonts w:ascii="Arial" w:eastAsia="Arial" w:hAnsi="Arial" w:cs="Arial"/>
          <w:b/>
          <w:sz w:val="19"/>
        </w:rPr>
        <w:t xml:space="preserve">In connection with Capital Gains Tax outline the concept of Entrepreneurs’ Relief. </w:t>
      </w:r>
    </w:p>
    <w:p w14:paraId="363A2C66" w14:textId="77777777" w:rsidR="00BD6DC7" w:rsidRDefault="00CC0BD5">
      <w:pPr>
        <w:spacing w:after="14"/>
        <w:ind w:left="720"/>
      </w:pPr>
      <w:r>
        <w:rPr>
          <w:rFonts w:ascii="Arial" w:eastAsia="Arial" w:hAnsi="Arial" w:cs="Arial"/>
          <w:b/>
          <w:sz w:val="19"/>
        </w:rPr>
        <w:t xml:space="preserve"> </w:t>
      </w:r>
    </w:p>
    <w:p w14:paraId="70C608B6" w14:textId="77777777" w:rsidR="00BD6DC7" w:rsidRDefault="00CC0BD5">
      <w:pPr>
        <w:spacing w:after="11" w:line="269" w:lineRule="auto"/>
        <w:ind w:left="8143" w:hanging="10"/>
      </w:pPr>
      <w:r>
        <w:rPr>
          <w:rFonts w:ascii="Arial" w:eastAsia="Arial" w:hAnsi="Arial" w:cs="Arial"/>
          <w:b/>
          <w:sz w:val="19"/>
        </w:rPr>
        <w:t xml:space="preserve">10 marks </w:t>
      </w:r>
    </w:p>
    <w:p w14:paraId="78492F24" w14:textId="77777777" w:rsidR="00BD6DC7" w:rsidRDefault="00CC0BD5">
      <w:pPr>
        <w:spacing w:after="17"/>
      </w:pPr>
      <w:r>
        <w:rPr>
          <w:rFonts w:ascii="Arial" w:eastAsia="Arial" w:hAnsi="Arial" w:cs="Arial"/>
          <w:sz w:val="19"/>
        </w:rPr>
        <w:t xml:space="preserve"> </w:t>
      </w:r>
    </w:p>
    <w:p w14:paraId="2AA27031" w14:textId="15FC9D8E" w:rsidR="00BD6DC7" w:rsidRDefault="00CC0BD5">
      <w:pPr>
        <w:spacing w:after="5" w:line="268" w:lineRule="auto"/>
        <w:ind w:left="422" w:right="92" w:hanging="10"/>
        <w:rPr>
          <w:rFonts w:ascii="Arial" w:eastAsia="Arial" w:hAnsi="Arial" w:cs="Arial"/>
          <w:sz w:val="19"/>
        </w:rPr>
      </w:pPr>
      <w:r>
        <w:rPr>
          <w:rFonts w:ascii="Arial" w:eastAsia="Arial" w:hAnsi="Arial" w:cs="Arial"/>
          <w:sz w:val="19"/>
        </w:rPr>
        <w:t xml:space="preserve">Answer should provide an overview of Entrepreneurs’ Relief, qualifying assets and any restrictions following the disposal of assets lent to the business. </w:t>
      </w:r>
    </w:p>
    <w:p w14:paraId="17351A78" w14:textId="77777777" w:rsidR="00C13C19" w:rsidRDefault="00C13C19">
      <w:pPr>
        <w:spacing w:after="5" w:line="268" w:lineRule="auto"/>
        <w:ind w:left="422" w:right="92" w:hanging="10"/>
      </w:pPr>
    </w:p>
    <w:p w14:paraId="34B6C1DF" w14:textId="6B4524D0" w:rsidR="00BD6DC7" w:rsidRDefault="00CC0BD5">
      <w:pPr>
        <w:spacing w:after="17"/>
        <w:rPr>
          <w:rFonts w:ascii="Arial" w:eastAsia="Arial" w:hAnsi="Arial" w:cs="Arial"/>
          <w:sz w:val="19"/>
        </w:rPr>
      </w:pPr>
      <w:r>
        <w:rPr>
          <w:rFonts w:ascii="Arial" w:eastAsia="Arial" w:hAnsi="Arial" w:cs="Arial"/>
          <w:sz w:val="19"/>
        </w:rPr>
        <w:t xml:space="preserve"> </w:t>
      </w:r>
      <w:r w:rsidR="00C13C19">
        <w:rPr>
          <w:rFonts w:ascii="Arial" w:eastAsia="Arial" w:hAnsi="Arial" w:cs="Arial"/>
          <w:sz w:val="19"/>
        </w:rPr>
        <w:t xml:space="preserve">       </w:t>
      </w:r>
      <w:r w:rsidR="00C13C19" w:rsidRPr="00C13C19">
        <w:rPr>
          <w:rFonts w:ascii="Arial" w:eastAsia="Arial" w:hAnsi="Arial" w:cs="Arial"/>
          <w:sz w:val="19"/>
        </w:rPr>
        <w:t xml:space="preserve">Entrepreneurs’ Relief (ER) means that tax can be paid at 10% on qualifying assets, instead of the </w:t>
      </w:r>
      <w:r w:rsidR="00C13C19">
        <w:rPr>
          <w:rFonts w:ascii="Arial" w:eastAsia="Arial" w:hAnsi="Arial" w:cs="Arial"/>
          <w:sz w:val="19"/>
        </w:rPr>
        <w:t xml:space="preserve">         </w:t>
      </w:r>
      <w:r w:rsidR="00C13C19" w:rsidRPr="00C13C19">
        <w:rPr>
          <w:rFonts w:ascii="Arial" w:eastAsia="Arial" w:hAnsi="Arial" w:cs="Arial"/>
          <w:sz w:val="19"/>
        </w:rPr>
        <w:t xml:space="preserve">rate of 20% (which would apply for a higher rate </w:t>
      </w:r>
      <w:proofErr w:type="gramStart"/>
      <w:r w:rsidR="00C13C19" w:rsidRPr="00C13C19">
        <w:rPr>
          <w:rFonts w:ascii="Arial" w:eastAsia="Arial" w:hAnsi="Arial" w:cs="Arial"/>
          <w:sz w:val="19"/>
        </w:rPr>
        <w:t>tax-payer</w:t>
      </w:r>
      <w:proofErr w:type="gramEnd"/>
      <w:r w:rsidR="00C13C19" w:rsidRPr="00C13C19">
        <w:rPr>
          <w:rFonts w:ascii="Arial" w:eastAsia="Arial" w:hAnsi="Arial" w:cs="Arial"/>
          <w:sz w:val="19"/>
        </w:rPr>
        <w:t xml:space="preserve"> for non-residential property assets)</w:t>
      </w:r>
    </w:p>
    <w:p w14:paraId="56A23ABE" w14:textId="28B47C8B" w:rsidR="00C13C19" w:rsidRDefault="00C13C19">
      <w:pPr>
        <w:spacing w:after="17"/>
        <w:rPr>
          <w:rFonts w:ascii="Arial" w:eastAsia="Arial" w:hAnsi="Arial" w:cs="Arial"/>
          <w:sz w:val="19"/>
        </w:rPr>
      </w:pPr>
    </w:p>
    <w:p w14:paraId="3006D5CE" w14:textId="77777777" w:rsidR="00C13C19" w:rsidRDefault="00C13C19">
      <w:pPr>
        <w:spacing w:after="17"/>
        <w:rPr>
          <w:rFonts w:ascii="Arial" w:eastAsia="Arial" w:hAnsi="Arial" w:cs="Arial"/>
          <w:sz w:val="19"/>
        </w:rPr>
      </w:pPr>
      <w:r w:rsidRPr="00C13C19">
        <w:rPr>
          <w:rFonts w:ascii="Arial" w:eastAsia="Arial" w:hAnsi="Arial" w:cs="Arial"/>
          <w:sz w:val="19"/>
        </w:rPr>
        <w:t xml:space="preserve">Qualification for relief arises on disposal of any of the following: </w:t>
      </w:r>
    </w:p>
    <w:p w14:paraId="203F32D2" w14:textId="77777777" w:rsidR="00C13C19" w:rsidRDefault="00C13C19">
      <w:pPr>
        <w:spacing w:after="17"/>
        <w:rPr>
          <w:rFonts w:ascii="Arial" w:eastAsia="Arial" w:hAnsi="Arial" w:cs="Arial"/>
          <w:sz w:val="19"/>
        </w:rPr>
      </w:pPr>
      <w:r w:rsidRPr="00C13C19">
        <w:rPr>
          <w:rFonts w:ascii="Arial" w:eastAsia="Arial" w:hAnsi="Arial" w:cs="Arial"/>
          <w:sz w:val="19"/>
        </w:rPr>
        <w:t xml:space="preserve">• all or part of a business as a sole trader or business partner – including the business’s assets after it </w:t>
      </w:r>
      <w:proofErr w:type="gramStart"/>
      <w:r w:rsidRPr="00C13C19">
        <w:rPr>
          <w:rFonts w:ascii="Arial" w:eastAsia="Arial" w:hAnsi="Arial" w:cs="Arial"/>
          <w:sz w:val="19"/>
        </w:rPr>
        <w:t>closed;</w:t>
      </w:r>
      <w:proofErr w:type="gramEnd"/>
      <w:r w:rsidRPr="00C13C19">
        <w:rPr>
          <w:rFonts w:ascii="Arial" w:eastAsia="Arial" w:hAnsi="Arial" w:cs="Arial"/>
          <w:sz w:val="19"/>
        </w:rPr>
        <w:t xml:space="preserve"> </w:t>
      </w:r>
    </w:p>
    <w:p w14:paraId="500912E9" w14:textId="77777777" w:rsidR="00C13C19" w:rsidRDefault="00C13C19">
      <w:pPr>
        <w:spacing w:after="17"/>
        <w:rPr>
          <w:rFonts w:ascii="Arial" w:eastAsia="Arial" w:hAnsi="Arial" w:cs="Arial"/>
          <w:sz w:val="19"/>
        </w:rPr>
      </w:pPr>
      <w:r w:rsidRPr="00C13C19">
        <w:rPr>
          <w:rFonts w:ascii="Arial" w:eastAsia="Arial" w:hAnsi="Arial" w:cs="Arial"/>
          <w:sz w:val="19"/>
        </w:rPr>
        <w:t>• shares or securities in a company where at least 5% of shares and voting rights are held (this is known as a “personal company”</w:t>
      </w:r>
      <w:proofErr w:type="gramStart"/>
      <w:r w:rsidRPr="00C13C19">
        <w:rPr>
          <w:rFonts w:ascii="Arial" w:eastAsia="Arial" w:hAnsi="Arial" w:cs="Arial"/>
          <w:sz w:val="19"/>
        </w:rPr>
        <w:t>);</w:t>
      </w:r>
      <w:proofErr w:type="gramEnd"/>
      <w:r w:rsidRPr="00C13C19">
        <w:rPr>
          <w:rFonts w:ascii="Arial" w:eastAsia="Arial" w:hAnsi="Arial" w:cs="Arial"/>
          <w:sz w:val="19"/>
        </w:rPr>
        <w:t xml:space="preserve"> </w:t>
      </w:r>
    </w:p>
    <w:p w14:paraId="091A86CF" w14:textId="77777777" w:rsidR="00C13C19" w:rsidRDefault="00C13C19">
      <w:pPr>
        <w:spacing w:after="17"/>
        <w:rPr>
          <w:rFonts w:ascii="Arial" w:eastAsia="Arial" w:hAnsi="Arial" w:cs="Arial"/>
          <w:sz w:val="19"/>
        </w:rPr>
      </w:pPr>
      <w:r w:rsidRPr="00C13C19">
        <w:rPr>
          <w:rFonts w:ascii="Arial" w:eastAsia="Arial" w:hAnsi="Arial" w:cs="Arial"/>
          <w:sz w:val="19"/>
        </w:rPr>
        <w:t xml:space="preserve">• shares obtained through an Enterprise Management Incentive scheme (EMI) after 6 April </w:t>
      </w:r>
      <w:proofErr w:type="gramStart"/>
      <w:r w:rsidRPr="00C13C19">
        <w:rPr>
          <w:rFonts w:ascii="Arial" w:eastAsia="Arial" w:hAnsi="Arial" w:cs="Arial"/>
          <w:sz w:val="19"/>
        </w:rPr>
        <w:t>2013;</w:t>
      </w:r>
      <w:proofErr w:type="gramEnd"/>
      <w:r w:rsidRPr="00C13C19">
        <w:rPr>
          <w:rFonts w:ascii="Arial" w:eastAsia="Arial" w:hAnsi="Arial" w:cs="Arial"/>
          <w:sz w:val="19"/>
        </w:rPr>
        <w:t xml:space="preserve"> </w:t>
      </w:r>
    </w:p>
    <w:p w14:paraId="2F1A9B17" w14:textId="072748A5" w:rsidR="00C13C19" w:rsidRDefault="00C13C19">
      <w:pPr>
        <w:spacing w:after="17"/>
        <w:rPr>
          <w:rFonts w:ascii="Arial" w:eastAsia="Arial" w:hAnsi="Arial" w:cs="Arial"/>
          <w:sz w:val="19"/>
        </w:rPr>
      </w:pPr>
      <w:r w:rsidRPr="00C13C19">
        <w:rPr>
          <w:rFonts w:ascii="Arial" w:eastAsia="Arial" w:hAnsi="Arial" w:cs="Arial"/>
          <w:sz w:val="19"/>
        </w:rPr>
        <w:t>• assets lent to the business/personal company</w:t>
      </w:r>
    </w:p>
    <w:p w14:paraId="00D3B5E3" w14:textId="734242DA" w:rsidR="00C13C19" w:rsidRDefault="00C13C19">
      <w:pPr>
        <w:spacing w:after="17"/>
        <w:rPr>
          <w:rFonts w:ascii="Arial" w:eastAsia="Arial" w:hAnsi="Arial" w:cs="Arial"/>
          <w:sz w:val="19"/>
        </w:rPr>
      </w:pPr>
      <w:r>
        <w:rPr>
          <w:rFonts w:ascii="Arial" w:eastAsia="Arial" w:hAnsi="Arial" w:cs="Arial"/>
          <w:sz w:val="19"/>
        </w:rPr>
        <w:lastRenderedPageBreak/>
        <w:t xml:space="preserve">  </w:t>
      </w:r>
    </w:p>
    <w:p w14:paraId="4F085FF7" w14:textId="0F565D5A" w:rsidR="00C13C19" w:rsidRDefault="00C13C19">
      <w:pPr>
        <w:spacing w:after="17"/>
        <w:rPr>
          <w:rFonts w:ascii="Arial" w:eastAsia="Arial" w:hAnsi="Arial" w:cs="Arial"/>
          <w:sz w:val="19"/>
        </w:rPr>
      </w:pPr>
    </w:p>
    <w:p w14:paraId="7F47F845" w14:textId="77777777" w:rsidR="00C13C19" w:rsidRDefault="00C13C19">
      <w:pPr>
        <w:spacing w:after="17"/>
      </w:pPr>
    </w:p>
    <w:p w14:paraId="62385915" w14:textId="77777777" w:rsidR="00BD6DC7" w:rsidRDefault="00CC0BD5">
      <w:pPr>
        <w:spacing w:after="5" w:line="268" w:lineRule="auto"/>
        <w:ind w:left="422" w:right="92" w:hanging="10"/>
      </w:pPr>
      <w:r>
        <w:rPr>
          <w:rFonts w:ascii="Arial" w:eastAsia="Arial" w:hAnsi="Arial" w:cs="Arial"/>
          <w:sz w:val="19"/>
        </w:rPr>
        <w:t xml:space="preserve">Relevant section of the manual is Part 2 Chapter 3.4. </w:t>
      </w:r>
    </w:p>
    <w:p w14:paraId="26BE6900" w14:textId="77777777" w:rsidR="00BD6DC7" w:rsidRDefault="00CC0BD5">
      <w:pPr>
        <w:spacing w:after="11" w:line="269" w:lineRule="auto"/>
        <w:ind w:left="8143" w:hanging="10"/>
      </w:pPr>
      <w:r>
        <w:rPr>
          <w:rFonts w:ascii="Arial" w:eastAsia="Arial" w:hAnsi="Arial" w:cs="Arial"/>
          <w:b/>
          <w:sz w:val="19"/>
        </w:rPr>
        <w:t xml:space="preserve">10 marks </w:t>
      </w:r>
    </w:p>
    <w:p w14:paraId="71CEEDD4" w14:textId="77777777" w:rsidR="00BD6DC7" w:rsidRDefault="00CC0BD5">
      <w:pPr>
        <w:spacing w:after="14"/>
        <w:ind w:left="7201"/>
      </w:pPr>
      <w:r>
        <w:rPr>
          <w:rFonts w:ascii="Arial" w:eastAsia="Arial" w:hAnsi="Arial" w:cs="Arial"/>
          <w:b/>
          <w:sz w:val="19"/>
        </w:rPr>
        <w:t xml:space="preserve"> </w:t>
      </w:r>
    </w:p>
    <w:p w14:paraId="2A86CD23" w14:textId="77777777" w:rsidR="00BD6DC7" w:rsidRDefault="00CC0BD5">
      <w:pPr>
        <w:spacing w:after="17"/>
        <w:ind w:left="7201"/>
      </w:pPr>
      <w:r>
        <w:rPr>
          <w:rFonts w:ascii="Arial" w:eastAsia="Arial" w:hAnsi="Arial" w:cs="Arial"/>
          <w:b/>
          <w:sz w:val="19"/>
        </w:rPr>
        <w:t xml:space="preserve"> </w:t>
      </w:r>
    </w:p>
    <w:p w14:paraId="10787994" w14:textId="77777777" w:rsidR="00BD6DC7" w:rsidRDefault="00CC0BD5">
      <w:pPr>
        <w:numPr>
          <w:ilvl w:val="0"/>
          <w:numId w:val="1"/>
        </w:numPr>
        <w:spacing w:after="11" w:line="269" w:lineRule="auto"/>
        <w:ind w:hanging="427"/>
      </w:pPr>
      <w:r>
        <w:rPr>
          <w:rFonts w:ascii="Arial" w:eastAsia="Arial" w:hAnsi="Arial" w:cs="Arial"/>
          <w:b/>
          <w:sz w:val="19"/>
        </w:rPr>
        <w:t xml:space="preserve">In an email to a client describe the different rates of Stamp Duty Land Tax and the available exemptions. </w:t>
      </w:r>
    </w:p>
    <w:p w14:paraId="78DCEFA4" w14:textId="77777777" w:rsidR="00BD6DC7" w:rsidRDefault="00CC0BD5">
      <w:pPr>
        <w:spacing w:after="11" w:line="269" w:lineRule="auto"/>
        <w:ind w:left="8143" w:hanging="10"/>
      </w:pPr>
      <w:r>
        <w:rPr>
          <w:rFonts w:ascii="Arial" w:eastAsia="Arial" w:hAnsi="Arial" w:cs="Arial"/>
          <w:b/>
          <w:sz w:val="19"/>
        </w:rPr>
        <w:t xml:space="preserve">15 marks </w:t>
      </w:r>
    </w:p>
    <w:p w14:paraId="4EE24E5A" w14:textId="77777777" w:rsidR="00BD6DC7" w:rsidRDefault="00CC0BD5">
      <w:pPr>
        <w:spacing w:after="17"/>
      </w:pPr>
      <w:r>
        <w:rPr>
          <w:rFonts w:ascii="Arial" w:eastAsia="Arial" w:hAnsi="Arial" w:cs="Arial"/>
          <w:sz w:val="19"/>
        </w:rPr>
        <w:t xml:space="preserve"> </w:t>
      </w:r>
    </w:p>
    <w:p w14:paraId="5AE4C290" w14:textId="77777777" w:rsidR="00BD6DC7" w:rsidRDefault="00CC0BD5">
      <w:pPr>
        <w:spacing w:after="5" w:line="268" w:lineRule="auto"/>
        <w:ind w:left="422" w:right="92" w:hanging="10"/>
      </w:pPr>
      <w:r>
        <w:rPr>
          <w:rFonts w:ascii="Arial" w:eastAsia="Arial" w:hAnsi="Arial" w:cs="Arial"/>
          <w:sz w:val="19"/>
        </w:rPr>
        <w:t xml:space="preserve">This question asks for a specific format and therefore 2 -3 marks would be available for answers that comply with the request. </w:t>
      </w:r>
    </w:p>
    <w:p w14:paraId="1508EF6C" w14:textId="77777777" w:rsidR="00BD6DC7" w:rsidRDefault="00CC0BD5">
      <w:pPr>
        <w:spacing w:after="17"/>
        <w:ind w:left="427"/>
      </w:pPr>
      <w:r>
        <w:rPr>
          <w:rFonts w:ascii="Arial" w:eastAsia="Arial" w:hAnsi="Arial" w:cs="Arial"/>
          <w:sz w:val="20"/>
        </w:rPr>
        <w:t xml:space="preserve"> </w:t>
      </w:r>
    </w:p>
    <w:p w14:paraId="12D5C54C" w14:textId="742796D2" w:rsidR="00BD6DC7" w:rsidRDefault="00CC0BD5">
      <w:pPr>
        <w:spacing w:after="0" w:line="241" w:lineRule="auto"/>
        <w:ind w:left="427" w:right="162"/>
        <w:rPr>
          <w:rFonts w:ascii="Arial" w:eastAsia="Arial" w:hAnsi="Arial" w:cs="Arial"/>
          <w:color w:val="231F20"/>
          <w:sz w:val="20"/>
        </w:rPr>
      </w:pPr>
      <w:r>
        <w:rPr>
          <w:rFonts w:ascii="Arial" w:eastAsia="Arial" w:hAnsi="Arial" w:cs="Arial"/>
          <w:sz w:val="20"/>
        </w:rPr>
        <w:t xml:space="preserve">A full answer would include a brief explanation of </w:t>
      </w:r>
      <w:r>
        <w:rPr>
          <w:rFonts w:ascii="Arial" w:eastAsia="Arial" w:hAnsi="Arial" w:cs="Arial"/>
          <w:color w:val="231F20"/>
          <w:sz w:val="20"/>
        </w:rPr>
        <w:t xml:space="preserve">Stamp Duty Land Tax (It is generally payable on the purchase or transfer of property or land in the UK) </w:t>
      </w:r>
      <w:r>
        <w:rPr>
          <w:rFonts w:ascii="Arial" w:eastAsia="Arial" w:hAnsi="Arial" w:cs="Arial"/>
          <w:sz w:val="20"/>
        </w:rPr>
        <w:t>before describing the different rates and exemptions.  Significant changes were made to Stamp Duty Land Tax in December 2014 and a note of the impact of the changes and main differences would be relevant.</w:t>
      </w:r>
      <w:r>
        <w:rPr>
          <w:rFonts w:ascii="Arial" w:eastAsia="Arial" w:hAnsi="Arial" w:cs="Arial"/>
          <w:color w:val="231F20"/>
          <w:sz w:val="20"/>
        </w:rPr>
        <w:t xml:space="preserve"> </w:t>
      </w:r>
    </w:p>
    <w:p w14:paraId="2DD1DFF0" w14:textId="77777777" w:rsidR="00B60427" w:rsidRDefault="00B60427">
      <w:pPr>
        <w:spacing w:after="0" w:line="241" w:lineRule="auto"/>
        <w:ind w:left="427" w:right="162"/>
      </w:pPr>
    </w:p>
    <w:p w14:paraId="70CE9217" w14:textId="77777777" w:rsidR="00B60427" w:rsidRDefault="00CC0BD5">
      <w:pPr>
        <w:spacing w:after="17"/>
        <w:ind w:left="427"/>
        <w:rPr>
          <w:rFonts w:ascii="Arial" w:eastAsia="Arial" w:hAnsi="Arial" w:cs="Arial"/>
          <w:sz w:val="19"/>
        </w:rPr>
      </w:pPr>
      <w:r>
        <w:rPr>
          <w:rFonts w:ascii="Arial" w:eastAsia="Arial" w:hAnsi="Arial" w:cs="Arial"/>
          <w:sz w:val="19"/>
        </w:rPr>
        <w:t xml:space="preserve"> </w:t>
      </w:r>
      <w:r w:rsidR="00B60427" w:rsidRPr="00B60427">
        <w:rPr>
          <w:rFonts w:ascii="Arial" w:eastAsia="Arial" w:hAnsi="Arial" w:cs="Arial"/>
          <w:sz w:val="19"/>
        </w:rPr>
        <w:t>Residential land or property SDLT rates and thresholds 25 March 2010 to 3 December 2014 Purchase price/lease premium or transfer value</w:t>
      </w:r>
      <w:r w:rsidR="00B60427">
        <w:rPr>
          <w:rFonts w:ascii="Arial" w:eastAsia="Arial" w:hAnsi="Arial" w:cs="Arial"/>
          <w:sz w:val="19"/>
        </w:rPr>
        <w:t>-</w:t>
      </w:r>
      <w:r w:rsidR="00B60427" w:rsidRPr="00B60427">
        <w:rPr>
          <w:rFonts w:ascii="Arial" w:eastAsia="Arial" w:hAnsi="Arial" w:cs="Arial"/>
          <w:sz w:val="19"/>
        </w:rPr>
        <w:t xml:space="preserve"> SDLT rate</w:t>
      </w:r>
    </w:p>
    <w:p w14:paraId="518602CF" w14:textId="094680F9" w:rsidR="00B60427" w:rsidRDefault="00B60427">
      <w:pPr>
        <w:spacing w:after="17"/>
        <w:ind w:left="427"/>
        <w:rPr>
          <w:rFonts w:ascii="Arial" w:eastAsia="Arial" w:hAnsi="Arial" w:cs="Arial"/>
          <w:sz w:val="19"/>
        </w:rPr>
      </w:pPr>
      <w:r w:rsidRPr="00B60427">
        <w:rPr>
          <w:rFonts w:ascii="Arial" w:eastAsia="Arial" w:hAnsi="Arial" w:cs="Arial"/>
          <w:sz w:val="19"/>
        </w:rPr>
        <w:t xml:space="preserve"> Up to £125,000 0% </w:t>
      </w:r>
    </w:p>
    <w:p w14:paraId="6E6AB38D" w14:textId="4847E5C5" w:rsidR="00B60427" w:rsidRDefault="00B60427">
      <w:pPr>
        <w:spacing w:after="17"/>
        <w:ind w:left="427"/>
        <w:rPr>
          <w:rFonts w:ascii="Arial" w:eastAsia="Arial" w:hAnsi="Arial" w:cs="Arial"/>
          <w:sz w:val="19"/>
        </w:rPr>
      </w:pPr>
      <w:r w:rsidRPr="00B60427">
        <w:rPr>
          <w:rFonts w:ascii="Arial" w:eastAsia="Arial" w:hAnsi="Arial" w:cs="Arial"/>
          <w:sz w:val="19"/>
        </w:rPr>
        <w:t xml:space="preserve">£125,001 to £250,000 1% </w:t>
      </w:r>
    </w:p>
    <w:p w14:paraId="08F5765A" w14:textId="77777777" w:rsidR="00B60427" w:rsidRDefault="00B60427">
      <w:pPr>
        <w:spacing w:after="17"/>
        <w:ind w:left="427"/>
        <w:rPr>
          <w:rFonts w:ascii="Arial" w:eastAsia="Arial" w:hAnsi="Arial" w:cs="Arial"/>
          <w:sz w:val="19"/>
        </w:rPr>
      </w:pPr>
      <w:r w:rsidRPr="00B60427">
        <w:rPr>
          <w:rFonts w:ascii="Arial" w:eastAsia="Arial" w:hAnsi="Arial" w:cs="Arial"/>
          <w:sz w:val="19"/>
        </w:rPr>
        <w:t xml:space="preserve">£250,001 to £500,000 3% </w:t>
      </w:r>
    </w:p>
    <w:p w14:paraId="1FBFB47B" w14:textId="77777777" w:rsidR="00B60427" w:rsidRDefault="00B60427">
      <w:pPr>
        <w:spacing w:after="17"/>
        <w:ind w:left="427"/>
        <w:rPr>
          <w:rFonts w:ascii="Arial" w:eastAsia="Arial" w:hAnsi="Arial" w:cs="Arial"/>
          <w:sz w:val="19"/>
        </w:rPr>
      </w:pPr>
      <w:r w:rsidRPr="00B60427">
        <w:rPr>
          <w:rFonts w:ascii="Arial" w:eastAsia="Arial" w:hAnsi="Arial" w:cs="Arial"/>
          <w:sz w:val="19"/>
        </w:rPr>
        <w:t xml:space="preserve">£500,001 to £1,000,000 4% </w:t>
      </w:r>
    </w:p>
    <w:p w14:paraId="577771D0" w14:textId="77777777" w:rsidR="00B60427" w:rsidRDefault="00B60427">
      <w:pPr>
        <w:spacing w:after="17"/>
        <w:ind w:left="427"/>
        <w:rPr>
          <w:rFonts w:ascii="Arial" w:eastAsia="Arial" w:hAnsi="Arial" w:cs="Arial"/>
          <w:sz w:val="19"/>
        </w:rPr>
      </w:pPr>
      <w:r w:rsidRPr="00B60427">
        <w:rPr>
          <w:rFonts w:ascii="Arial" w:eastAsia="Arial" w:hAnsi="Arial" w:cs="Arial"/>
          <w:sz w:val="19"/>
        </w:rPr>
        <w:t xml:space="preserve">£1,000,001 to £2,000,000 5% </w:t>
      </w:r>
    </w:p>
    <w:p w14:paraId="2DFEBDE4" w14:textId="3FC7810E" w:rsidR="00BD6DC7" w:rsidRDefault="00B60427">
      <w:pPr>
        <w:spacing w:after="17"/>
        <w:ind w:left="427"/>
        <w:rPr>
          <w:rFonts w:ascii="Arial" w:eastAsia="Arial" w:hAnsi="Arial" w:cs="Arial"/>
          <w:sz w:val="19"/>
        </w:rPr>
      </w:pPr>
      <w:r w:rsidRPr="00B60427">
        <w:rPr>
          <w:rFonts w:ascii="Arial" w:eastAsia="Arial" w:hAnsi="Arial" w:cs="Arial"/>
          <w:sz w:val="19"/>
        </w:rPr>
        <w:t xml:space="preserve">Over £2,000,000 7% </w:t>
      </w:r>
    </w:p>
    <w:p w14:paraId="63AEC3EF" w14:textId="429F9D76" w:rsidR="00B60427" w:rsidRDefault="00B60427">
      <w:pPr>
        <w:spacing w:after="17"/>
        <w:ind w:left="427"/>
        <w:rPr>
          <w:rFonts w:ascii="Arial" w:eastAsia="Arial" w:hAnsi="Arial" w:cs="Arial"/>
          <w:sz w:val="19"/>
        </w:rPr>
      </w:pPr>
    </w:p>
    <w:p w14:paraId="35496DCC" w14:textId="77777777" w:rsidR="0016514C" w:rsidRDefault="00B60427">
      <w:pPr>
        <w:spacing w:after="17"/>
        <w:ind w:left="427"/>
      </w:pPr>
      <w:r w:rsidRPr="00B60427">
        <w:t>Following the Chancellor’s Autumn Statement on 3 December 2014 the</w:t>
      </w:r>
      <w:r w:rsidR="0016514C">
        <w:t xml:space="preserve"> following</w:t>
      </w:r>
      <w:r w:rsidRPr="00B60427">
        <w:t xml:space="preserve"> new r</w:t>
      </w:r>
      <w:r w:rsidR="0016514C">
        <w:t xml:space="preserve">ates </w:t>
      </w:r>
      <w:r w:rsidRPr="00B60427">
        <w:t>apply.</w:t>
      </w:r>
    </w:p>
    <w:p w14:paraId="4BF5A491" w14:textId="77777777" w:rsidR="0016514C" w:rsidRDefault="0016514C">
      <w:pPr>
        <w:spacing w:after="17"/>
        <w:ind w:left="427"/>
      </w:pPr>
      <w:r w:rsidRPr="0016514C">
        <w:t xml:space="preserve"> The current SDLT threshold is £125,000 for residential properties.</w:t>
      </w:r>
    </w:p>
    <w:p w14:paraId="32752BC1" w14:textId="77777777" w:rsidR="0016514C" w:rsidRDefault="0016514C">
      <w:pPr>
        <w:spacing w:after="17"/>
        <w:ind w:left="427"/>
      </w:pPr>
      <w:r w:rsidRPr="0016514C">
        <w:t xml:space="preserve"> </w:t>
      </w:r>
      <w:r>
        <w:t>T</w:t>
      </w:r>
      <w:r w:rsidRPr="0016514C">
        <w:t>he rates for residential properties</w:t>
      </w:r>
    </w:p>
    <w:p w14:paraId="66C10E0B" w14:textId="6FBB4B82" w:rsidR="0016514C" w:rsidRDefault="0016514C">
      <w:pPr>
        <w:spacing w:after="17"/>
        <w:ind w:left="427"/>
      </w:pPr>
      <w:r w:rsidRPr="0016514C">
        <w:t>Residential land or property SDLT rates and thresholds 25 March 2010 to 3 December 2014 Purchase price of property</w:t>
      </w:r>
      <w:r>
        <w:t>-</w:t>
      </w:r>
      <w:r w:rsidRPr="0016514C">
        <w:t xml:space="preserve"> Rate of SDLT (percentage of portion of purchase price)</w:t>
      </w:r>
    </w:p>
    <w:p w14:paraId="42736805" w14:textId="77777777" w:rsidR="0016514C" w:rsidRDefault="0016514C">
      <w:pPr>
        <w:spacing w:after="17"/>
        <w:ind w:left="427"/>
      </w:pPr>
      <w:r w:rsidRPr="0016514C">
        <w:t xml:space="preserve"> £0 - £125,000 0%</w:t>
      </w:r>
    </w:p>
    <w:p w14:paraId="6B2BA778" w14:textId="77777777" w:rsidR="0016514C" w:rsidRDefault="0016514C">
      <w:pPr>
        <w:spacing w:after="17"/>
        <w:ind w:left="427"/>
      </w:pPr>
      <w:r w:rsidRPr="0016514C">
        <w:t xml:space="preserve"> £125,001 - £250,000 2% </w:t>
      </w:r>
    </w:p>
    <w:p w14:paraId="05E3E195" w14:textId="32C70C5B" w:rsidR="0016514C" w:rsidRDefault="0016514C">
      <w:pPr>
        <w:spacing w:after="17"/>
        <w:ind w:left="427"/>
      </w:pPr>
      <w:r w:rsidRPr="0016514C">
        <w:t xml:space="preserve">£250,001 - £925,000 </w:t>
      </w:r>
      <w:r>
        <w:t>5%</w:t>
      </w:r>
    </w:p>
    <w:p w14:paraId="29605576" w14:textId="77777777" w:rsidR="0016514C" w:rsidRDefault="0016514C" w:rsidP="0016514C">
      <w:pPr>
        <w:spacing w:after="17"/>
        <w:ind w:left="427"/>
      </w:pPr>
      <w:r w:rsidRPr="0016514C">
        <w:t>£925,001 - £1.5 million 10%</w:t>
      </w:r>
    </w:p>
    <w:p w14:paraId="00689874" w14:textId="1931DFB8" w:rsidR="00B60427" w:rsidRDefault="0016514C" w:rsidP="0016514C">
      <w:pPr>
        <w:spacing w:after="17"/>
        <w:ind w:left="427"/>
      </w:pPr>
      <w:r w:rsidRPr="0016514C">
        <w:t xml:space="preserve"> Over £1.5 million 12%</w:t>
      </w:r>
    </w:p>
    <w:p w14:paraId="20C7A008" w14:textId="62B58AEC" w:rsidR="00BD6DC7" w:rsidRDefault="00BD6DC7">
      <w:pPr>
        <w:spacing w:after="5" w:line="268" w:lineRule="auto"/>
        <w:ind w:left="422" w:right="92" w:hanging="10"/>
      </w:pPr>
    </w:p>
    <w:p w14:paraId="25532255" w14:textId="77777777" w:rsidR="00BD6DC7" w:rsidRDefault="00CC0BD5">
      <w:pPr>
        <w:spacing w:after="14"/>
        <w:ind w:left="427"/>
      </w:pPr>
      <w:r>
        <w:rPr>
          <w:rFonts w:ascii="Arial" w:eastAsia="Arial" w:hAnsi="Arial" w:cs="Arial"/>
          <w:sz w:val="19"/>
        </w:rPr>
        <w:t xml:space="preserve"> </w:t>
      </w:r>
    </w:p>
    <w:p w14:paraId="0158DF0A" w14:textId="77777777" w:rsidR="00BD6DC7" w:rsidRDefault="00CC0BD5">
      <w:pPr>
        <w:spacing w:after="5" w:line="268" w:lineRule="auto"/>
        <w:ind w:left="422" w:right="92" w:hanging="10"/>
      </w:pPr>
      <w:r>
        <w:rPr>
          <w:rFonts w:ascii="Arial" w:eastAsia="Arial" w:hAnsi="Arial" w:cs="Arial"/>
          <w:sz w:val="19"/>
        </w:rPr>
        <w:t xml:space="preserve">Exemptions include: </w:t>
      </w:r>
    </w:p>
    <w:p w14:paraId="49713309" w14:textId="77777777" w:rsidR="00BD6DC7" w:rsidRDefault="00CC0BD5">
      <w:pPr>
        <w:spacing w:after="41"/>
        <w:ind w:left="427"/>
      </w:pPr>
      <w:r>
        <w:rPr>
          <w:rFonts w:ascii="Arial" w:eastAsia="Arial" w:hAnsi="Arial" w:cs="Arial"/>
          <w:sz w:val="19"/>
        </w:rPr>
        <w:lastRenderedPageBreak/>
        <w:t xml:space="preserve"> </w:t>
      </w:r>
    </w:p>
    <w:p w14:paraId="16BFC726" w14:textId="77777777" w:rsidR="00BD6DC7" w:rsidRDefault="00CC0BD5">
      <w:pPr>
        <w:numPr>
          <w:ilvl w:val="1"/>
          <w:numId w:val="1"/>
        </w:numPr>
        <w:spacing w:after="3" w:line="251" w:lineRule="auto"/>
        <w:ind w:right="98" w:hanging="425"/>
      </w:pPr>
      <w:r>
        <w:rPr>
          <w:rFonts w:ascii="Arial" w:eastAsia="Arial" w:hAnsi="Arial" w:cs="Arial"/>
          <w:color w:val="231F20"/>
          <w:sz w:val="20"/>
        </w:rPr>
        <w:t xml:space="preserve">Disadvantaged areas (claims for this relief required before 6 May 2014) </w:t>
      </w:r>
    </w:p>
    <w:p w14:paraId="5647CACE" w14:textId="77777777" w:rsidR="00BD6DC7" w:rsidRDefault="00CC0BD5">
      <w:pPr>
        <w:numPr>
          <w:ilvl w:val="1"/>
          <w:numId w:val="1"/>
        </w:numPr>
        <w:spacing w:after="3" w:line="251" w:lineRule="auto"/>
        <w:ind w:right="98" w:hanging="425"/>
      </w:pPr>
      <w:r>
        <w:rPr>
          <w:rFonts w:ascii="Arial" w:eastAsia="Arial" w:hAnsi="Arial" w:cs="Arial"/>
          <w:color w:val="231F20"/>
          <w:sz w:val="20"/>
        </w:rPr>
        <w:t xml:space="preserve">SDLT is not payable on any part of the purchase price that is attributable to such things as carpets, </w:t>
      </w:r>
      <w:proofErr w:type="gramStart"/>
      <w:r>
        <w:rPr>
          <w:rFonts w:ascii="Arial" w:eastAsia="Arial" w:hAnsi="Arial" w:cs="Arial"/>
          <w:color w:val="231F20"/>
          <w:sz w:val="20"/>
        </w:rPr>
        <w:t>curtains</w:t>
      </w:r>
      <w:proofErr w:type="gramEnd"/>
      <w:r>
        <w:rPr>
          <w:rFonts w:ascii="Arial" w:eastAsia="Arial" w:hAnsi="Arial" w:cs="Arial"/>
          <w:color w:val="231F20"/>
          <w:sz w:val="20"/>
        </w:rPr>
        <w:t xml:space="preserve"> and any other items which the vender leaves in the property. </w:t>
      </w:r>
    </w:p>
    <w:p w14:paraId="1B3C1E0D" w14:textId="77777777" w:rsidR="00BD6DC7" w:rsidRDefault="00CC0BD5">
      <w:pPr>
        <w:numPr>
          <w:ilvl w:val="1"/>
          <w:numId w:val="1"/>
        </w:numPr>
        <w:spacing w:after="3" w:line="251" w:lineRule="auto"/>
        <w:ind w:right="98" w:hanging="425"/>
      </w:pPr>
      <w:r>
        <w:rPr>
          <w:rFonts w:ascii="Arial" w:eastAsia="Arial" w:hAnsi="Arial" w:cs="Arial"/>
          <w:color w:val="231F20"/>
          <w:sz w:val="20"/>
        </w:rPr>
        <w:t xml:space="preserve">when property is left to another person in a will. </w:t>
      </w:r>
      <w:r>
        <w:rPr>
          <w:rFonts w:ascii="Arial" w:eastAsia="Arial" w:hAnsi="Arial" w:cs="Arial"/>
          <w:b/>
          <w:sz w:val="20"/>
        </w:rPr>
        <w:t xml:space="preserve"> </w:t>
      </w:r>
    </w:p>
    <w:p w14:paraId="6C598AB3" w14:textId="77777777" w:rsidR="00BD6DC7" w:rsidRDefault="00CC0BD5">
      <w:pPr>
        <w:numPr>
          <w:ilvl w:val="1"/>
          <w:numId w:val="1"/>
        </w:numPr>
        <w:spacing w:after="3" w:line="251" w:lineRule="auto"/>
        <w:ind w:right="98" w:hanging="425"/>
      </w:pPr>
      <w:r>
        <w:rPr>
          <w:rFonts w:ascii="Arial" w:eastAsia="Arial" w:hAnsi="Arial" w:cs="Arial"/>
          <w:color w:val="231F20"/>
          <w:sz w:val="20"/>
        </w:rPr>
        <w:t>when a couple get divorced or separate – or end their civil partnership – and the parties agree to split their property and land between them, or the property is split under the terms of a court order.</w:t>
      </w:r>
      <w:r>
        <w:rPr>
          <w:rFonts w:ascii="Arial" w:eastAsia="Arial" w:hAnsi="Arial" w:cs="Arial"/>
          <w:b/>
          <w:sz w:val="20"/>
        </w:rPr>
        <w:t xml:space="preserve"> </w:t>
      </w:r>
    </w:p>
    <w:p w14:paraId="422AD4C9" w14:textId="77777777" w:rsidR="00BD6DC7" w:rsidRDefault="00CC0BD5">
      <w:pPr>
        <w:spacing w:after="17"/>
        <w:ind w:left="7201"/>
      </w:pPr>
      <w:r>
        <w:rPr>
          <w:rFonts w:ascii="Arial" w:eastAsia="Arial" w:hAnsi="Arial" w:cs="Arial"/>
          <w:b/>
          <w:sz w:val="19"/>
        </w:rPr>
        <w:t xml:space="preserve"> </w:t>
      </w:r>
    </w:p>
    <w:p w14:paraId="00320242" w14:textId="77777777" w:rsidR="00BD6DC7" w:rsidRDefault="00CC0BD5">
      <w:pPr>
        <w:spacing w:after="5" w:line="268" w:lineRule="auto"/>
        <w:ind w:left="422" w:right="92" w:hanging="10"/>
      </w:pPr>
      <w:r>
        <w:rPr>
          <w:rFonts w:ascii="Arial" w:eastAsia="Arial" w:hAnsi="Arial" w:cs="Arial"/>
          <w:sz w:val="19"/>
        </w:rPr>
        <w:t xml:space="preserve">Relevant section of the manual is Part 2 Chapter 5.1. </w:t>
      </w:r>
    </w:p>
    <w:p w14:paraId="198D4C49" w14:textId="77777777" w:rsidR="00BD6DC7" w:rsidRDefault="00CC0BD5">
      <w:pPr>
        <w:spacing w:after="0"/>
        <w:ind w:left="427"/>
      </w:pPr>
      <w:r>
        <w:rPr>
          <w:rFonts w:ascii="Arial" w:eastAsia="Arial" w:hAnsi="Arial" w:cs="Arial"/>
          <w:sz w:val="19"/>
        </w:rPr>
        <w:t xml:space="preserve"> </w:t>
      </w:r>
    </w:p>
    <w:p w14:paraId="5CB449BC" w14:textId="77777777" w:rsidR="00BD6DC7" w:rsidRDefault="00CC0BD5">
      <w:pPr>
        <w:numPr>
          <w:ilvl w:val="2"/>
          <w:numId w:val="1"/>
        </w:numPr>
        <w:spacing w:after="11" w:line="269" w:lineRule="auto"/>
        <w:ind w:right="-7" w:hanging="264"/>
      </w:pPr>
      <w:r>
        <w:rPr>
          <w:rFonts w:ascii="Arial" w:eastAsia="Arial" w:hAnsi="Arial" w:cs="Arial"/>
          <w:b/>
          <w:sz w:val="19"/>
        </w:rPr>
        <w:t xml:space="preserve">marks </w:t>
      </w:r>
    </w:p>
    <w:p w14:paraId="0B7DA8DE" w14:textId="77777777" w:rsidR="00BD6DC7" w:rsidRDefault="00CC0BD5">
      <w:pPr>
        <w:spacing w:after="0" w:line="275" w:lineRule="auto"/>
        <w:ind w:right="1702"/>
        <w:jc w:val="both"/>
      </w:pPr>
      <w:r>
        <w:rPr>
          <w:rFonts w:ascii="Arial" w:eastAsia="Arial" w:hAnsi="Arial" w:cs="Arial"/>
          <w:b/>
          <w:sz w:val="19"/>
        </w:rPr>
        <w:t xml:space="preserve">  </w:t>
      </w:r>
      <w:r>
        <w:rPr>
          <w:rFonts w:ascii="Arial" w:eastAsia="Arial" w:hAnsi="Arial" w:cs="Arial"/>
          <w:b/>
          <w:sz w:val="19"/>
        </w:rPr>
        <w:tab/>
        <w:t xml:space="preserve"> </w:t>
      </w:r>
    </w:p>
    <w:p w14:paraId="6EC40418" w14:textId="684339CA" w:rsidR="00BD6DC7" w:rsidRDefault="00CC0BD5">
      <w:pPr>
        <w:numPr>
          <w:ilvl w:val="0"/>
          <w:numId w:val="1"/>
        </w:numPr>
        <w:spacing w:after="11" w:line="269" w:lineRule="auto"/>
        <w:ind w:hanging="427"/>
      </w:pPr>
      <w:r>
        <w:rPr>
          <w:rFonts w:ascii="Arial" w:eastAsia="Arial" w:hAnsi="Arial" w:cs="Arial"/>
          <w:b/>
          <w:sz w:val="19"/>
        </w:rPr>
        <w:t xml:space="preserve">A new colleague has asked you for an explanation of VAT rates. He has told you he knows there are only two rates but is confused about exempt goods and </w:t>
      </w:r>
      <w:r w:rsidR="0016514C">
        <w:rPr>
          <w:rFonts w:ascii="Arial" w:eastAsia="Arial" w:hAnsi="Arial" w:cs="Arial"/>
          <w:b/>
          <w:sz w:val="19"/>
        </w:rPr>
        <w:t>zero-rated</w:t>
      </w:r>
      <w:r>
        <w:rPr>
          <w:rFonts w:ascii="Arial" w:eastAsia="Arial" w:hAnsi="Arial" w:cs="Arial"/>
          <w:b/>
          <w:sz w:val="19"/>
        </w:rPr>
        <w:t xml:space="preserve"> goods.  Prepare a note for your colleague confirming the different rates and correcting any confusion he may have on them. </w:t>
      </w:r>
    </w:p>
    <w:p w14:paraId="70DDF671" w14:textId="77777777" w:rsidR="00BD6DC7" w:rsidRDefault="00CC0BD5">
      <w:pPr>
        <w:spacing w:after="15"/>
        <w:ind w:left="10" w:right="-15" w:hanging="10"/>
        <w:jc w:val="right"/>
      </w:pPr>
      <w:r>
        <w:rPr>
          <w:rFonts w:ascii="Arial" w:eastAsia="Arial" w:hAnsi="Arial" w:cs="Arial"/>
          <w:b/>
          <w:sz w:val="19"/>
        </w:rPr>
        <w:t xml:space="preserve">20 marks </w:t>
      </w:r>
    </w:p>
    <w:p w14:paraId="0E443248" w14:textId="77777777" w:rsidR="00BD6DC7" w:rsidRDefault="00CC0BD5">
      <w:pPr>
        <w:spacing w:after="17"/>
      </w:pPr>
      <w:r>
        <w:rPr>
          <w:rFonts w:ascii="Arial" w:eastAsia="Arial" w:hAnsi="Arial" w:cs="Arial"/>
          <w:sz w:val="19"/>
        </w:rPr>
        <w:t xml:space="preserve"> </w:t>
      </w:r>
    </w:p>
    <w:p w14:paraId="6949B6EA" w14:textId="77777777" w:rsidR="00BD6DC7" w:rsidRDefault="00CC0BD5">
      <w:pPr>
        <w:spacing w:after="5" w:line="268" w:lineRule="auto"/>
        <w:ind w:left="422" w:right="92" w:hanging="10"/>
      </w:pPr>
      <w:r>
        <w:rPr>
          <w:rFonts w:ascii="Arial" w:eastAsia="Arial" w:hAnsi="Arial" w:cs="Arial"/>
          <w:sz w:val="19"/>
        </w:rPr>
        <w:t xml:space="preserve">This question asks for a specific format and therefore 2 -3 marks would be available for answers that comply with the request. </w:t>
      </w:r>
    </w:p>
    <w:p w14:paraId="4BFB2924" w14:textId="77777777" w:rsidR="00BD6DC7" w:rsidRDefault="00CC0BD5">
      <w:pPr>
        <w:spacing w:after="0"/>
        <w:ind w:left="427"/>
      </w:pPr>
      <w:r>
        <w:rPr>
          <w:rFonts w:ascii="Arial" w:eastAsia="Arial" w:hAnsi="Arial" w:cs="Arial"/>
          <w:color w:val="231F20"/>
          <w:sz w:val="19"/>
        </w:rPr>
        <w:t xml:space="preserve"> </w:t>
      </w:r>
    </w:p>
    <w:p w14:paraId="7D6626C3" w14:textId="77777777" w:rsidR="00BD6DC7" w:rsidRDefault="00CC0BD5">
      <w:pPr>
        <w:spacing w:after="4" w:line="250" w:lineRule="auto"/>
        <w:ind w:left="422" w:right="98" w:hanging="10"/>
      </w:pPr>
      <w:r>
        <w:rPr>
          <w:rFonts w:ascii="Arial" w:eastAsia="Arial" w:hAnsi="Arial" w:cs="Arial"/>
          <w:color w:val="231F20"/>
          <w:sz w:val="19"/>
        </w:rPr>
        <w:t xml:space="preserve">A full answer should include a brief explanation of VAT: a tax that is charged on most goods and services provided in the UK.  3 marks are available. It should then include explanation and ideally examples of the different rates of VAT depending on the goods and services provided, these are: </w:t>
      </w:r>
    </w:p>
    <w:p w14:paraId="52E9FB21" w14:textId="77777777" w:rsidR="00BD6DC7" w:rsidRDefault="00CC0BD5">
      <w:pPr>
        <w:spacing w:after="0"/>
        <w:ind w:left="427"/>
      </w:pPr>
      <w:r>
        <w:rPr>
          <w:rFonts w:ascii="Arial" w:eastAsia="Arial" w:hAnsi="Arial" w:cs="Arial"/>
          <w:color w:val="231F20"/>
          <w:sz w:val="19"/>
        </w:rPr>
        <w:t xml:space="preserve"> </w:t>
      </w:r>
    </w:p>
    <w:p w14:paraId="7553F73A"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Standard rate of 20 % </w:t>
      </w:r>
    </w:p>
    <w:p w14:paraId="31406EE5"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Reduced rate of 5 % </w:t>
      </w:r>
    </w:p>
    <w:p w14:paraId="0FEB26BA" w14:textId="77777777" w:rsidR="00BD6DC7" w:rsidRDefault="00CC0BD5">
      <w:pPr>
        <w:numPr>
          <w:ilvl w:val="1"/>
          <w:numId w:val="1"/>
        </w:numPr>
        <w:spacing w:after="4" w:line="250" w:lineRule="auto"/>
        <w:ind w:right="98" w:hanging="425"/>
      </w:pPr>
      <w:r>
        <w:rPr>
          <w:rFonts w:ascii="Arial" w:eastAsia="Arial" w:hAnsi="Arial" w:cs="Arial"/>
          <w:color w:val="231F20"/>
          <w:sz w:val="19"/>
        </w:rPr>
        <w:t xml:space="preserve">Zero rate </w:t>
      </w:r>
    </w:p>
    <w:p w14:paraId="4B3977C0" w14:textId="5A7B525D" w:rsidR="00BD6DC7" w:rsidRDefault="00CC0BD5">
      <w:pPr>
        <w:numPr>
          <w:ilvl w:val="1"/>
          <w:numId w:val="1"/>
        </w:numPr>
        <w:spacing w:after="4" w:line="250" w:lineRule="auto"/>
        <w:ind w:right="98" w:hanging="425"/>
      </w:pPr>
      <w:r>
        <w:rPr>
          <w:rFonts w:ascii="Arial" w:eastAsia="Arial" w:hAnsi="Arial" w:cs="Arial"/>
          <w:color w:val="231F20"/>
          <w:sz w:val="19"/>
        </w:rPr>
        <w:t xml:space="preserve">Exempt Goods and Services, where a business supplies exempt goods and services they do not charge VAT on </w:t>
      </w:r>
      <w:r w:rsidR="0016514C">
        <w:rPr>
          <w:rFonts w:ascii="Arial" w:eastAsia="Arial" w:hAnsi="Arial" w:cs="Arial"/>
          <w:color w:val="231F20"/>
          <w:sz w:val="19"/>
        </w:rPr>
        <w:t>them,</w:t>
      </w:r>
      <w:r>
        <w:rPr>
          <w:rFonts w:ascii="Arial" w:eastAsia="Arial" w:hAnsi="Arial" w:cs="Arial"/>
          <w:color w:val="231F20"/>
          <w:sz w:val="19"/>
        </w:rPr>
        <w:t xml:space="preserve"> and they normally cannot claim back the VAT on related purchases. </w:t>
      </w:r>
    </w:p>
    <w:p w14:paraId="76B3D3D8" w14:textId="4A4F143F" w:rsidR="00BD6DC7" w:rsidRDefault="00CC0BD5">
      <w:pPr>
        <w:numPr>
          <w:ilvl w:val="1"/>
          <w:numId w:val="1"/>
        </w:numPr>
        <w:spacing w:after="4" w:line="250" w:lineRule="auto"/>
        <w:ind w:right="98" w:hanging="425"/>
      </w:pPr>
      <w:r>
        <w:rPr>
          <w:rFonts w:ascii="Arial" w:eastAsia="Arial" w:hAnsi="Arial" w:cs="Arial"/>
          <w:color w:val="231F20"/>
          <w:sz w:val="19"/>
        </w:rPr>
        <w:t xml:space="preserve">Zero- rated Supplies, if a business makes zero-rated </w:t>
      </w:r>
      <w:r w:rsidR="0016514C">
        <w:rPr>
          <w:rFonts w:ascii="Arial" w:eastAsia="Arial" w:hAnsi="Arial" w:cs="Arial"/>
          <w:color w:val="231F20"/>
          <w:sz w:val="19"/>
        </w:rPr>
        <w:t>supplies,</w:t>
      </w:r>
      <w:r>
        <w:rPr>
          <w:rFonts w:ascii="Arial" w:eastAsia="Arial" w:hAnsi="Arial" w:cs="Arial"/>
          <w:color w:val="231F20"/>
          <w:sz w:val="19"/>
        </w:rPr>
        <w:t xml:space="preserve"> it does not add VAT to the selling price but can still reclaim input tax on purchases and expenses </w:t>
      </w:r>
    </w:p>
    <w:p w14:paraId="6BD2F02A" w14:textId="77777777" w:rsidR="00BD6DC7" w:rsidRDefault="00CC0BD5">
      <w:pPr>
        <w:spacing w:after="0"/>
        <w:ind w:left="427"/>
      </w:pPr>
      <w:r>
        <w:rPr>
          <w:rFonts w:ascii="Arial" w:eastAsia="Arial" w:hAnsi="Arial" w:cs="Arial"/>
          <w:color w:val="231F20"/>
          <w:sz w:val="19"/>
        </w:rPr>
        <w:t xml:space="preserve"> </w:t>
      </w:r>
    </w:p>
    <w:p w14:paraId="16546E47" w14:textId="77777777" w:rsidR="00BD6DC7" w:rsidRDefault="00CC0BD5">
      <w:pPr>
        <w:spacing w:after="4" w:line="250" w:lineRule="auto"/>
        <w:ind w:left="422" w:right="98" w:hanging="10"/>
      </w:pPr>
      <w:r>
        <w:rPr>
          <w:rFonts w:ascii="Arial" w:eastAsia="Arial" w:hAnsi="Arial" w:cs="Arial"/>
          <w:color w:val="231F20"/>
          <w:sz w:val="19"/>
        </w:rPr>
        <w:t xml:space="preserve">Approximately 3-4 marks available for each. </w:t>
      </w:r>
    </w:p>
    <w:p w14:paraId="40174660" w14:textId="77777777" w:rsidR="00BD6DC7" w:rsidRDefault="00CC0BD5">
      <w:pPr>
        <w:spacing w:after="0"/>
      </w:pPr>
      <w:r>
        <w:rPr>
          <w:rFonts w:ascii="Arial" w:eastAsia="Arial" w:hAnsi="Arial" w:cs="Arial"/>
          <w:color w:val="231F20"/>
          <w:sz w:val="19"/>
        </w:rPr>
        <w:t xml:space="preserve"> </w:t>
      </w:r>
    </w:p>
    <w:p w14:paraId="57F3ADA3" w14:textId="77777777" w:rsidR="00BD6DC7" w:rsidRDefault="00CC0BD5">
      <w:pPr>
        <w:spacing w:after="5" w:line="268" w:lineRule="auto"/>
        <w:ind w:left="422" w:right="92" w:hanging="10"/>
      </w:pPr>
      <w:r>
        <w:rPr>
          <w:rFonts w:ascii="Arial" w:eastAsia="Arial" w:hAnsi="Arial" w:cs="Arial"/>
          <w:sz w:val="19"/>
        </w:rPr>
        <w:t xml:space="preserve">Relevant section of the manual is Part 2 Chapter 6.2. </w:t>
      </w:r>
    </w:p>
    <w:p w14:paraId="3A591B1C" w14:textId="77777777" w:rsidR="00BD6DC7" w:rsidRDefault="00CC0BD5">
      <w:pPr>
        <w:spacing w:after="0"/>
        <w:ind w:left="427"/>
      </w:pPr>
      <w:r>
        <w:rPr>
          <w:rFonts w:ascii="Arial" w:eastAsia="Arial" w:hAnsi="Arial" w:cs="Arial"/>
          <w:sz w:val="19"/>
        </w:rPr>
        <w:t xml:space="preserve"> </w:t>
      </w:r>
    </w:p>
    <w:p w14:paraId="0771D34C" w14:textId="77777777" w:rsidR="00BD6DC7" w:rsidRDefault="00CC0BD5">
      <w:pPr>
        <w:spacing w:after="15"/>
        <w:ind w:left="10" w:right="-15" w:hanging="10"/>
        <w:jc w:val="right"/>
      </w:pPr>
      <w:r>
        <w:rPr>
          <w:rFonts w:ascii="Arial" w:eastAsia="Arial" w:hAnsi="Arial" w:cs="Arial"/>
          <w:b/>
          <w:sz w:val="19"/>
        </w:rPr>
        <w:t xml:space="preserve">20 marks </w:t>
      </w:r>
    </w:p>
    <w:p w14:paraId="34C3C115" w14:textId="77777777" w:rsidR="00BD6DC7" w:rsidRDefault="00CC0BD5">
      <w:pPr>
        <w:spacing w:after="17"/>
        <w:ind w:left="7201"/>
      </w:pPr>
      <w:r>
        <w:rPr>
          <w:rFonts w:ascii="Arial" w:eastAsia="Arial" w:hAnsi="Arial" w:cs="Arial"/>
          <w:b/>
          <w:sz w:val="19"/>
        </w:rPr>
        <w:t xml:space="preserve"> </w:t>
      </w:r>
    </w:p>
    <w:p w14:paraId="54D31E7D" w14:textId="77777777" w:rsidR="00BD6DC7" w:rsidRDefault="00CC0BD5">
      <w:pPr>
        <w:spacing w:after="0"/>
      </w:pPr>
      <w:r>
        <w:rPr>
          <w:rFonts w:ascii="Arial" w:eastAsia="Arial" w:hAnsi="Arial" w:cs="Arial"/>
          <w:color w:val="231F20"/>
          <w:sz w:val="19"/>
        </w:rPr>
        <w:t xml:space="preserve"> </w:t>
      </w:r>
    </w:p>
    <w:sectPr w:rsidR="00BD6DC7">
      <w:headerReference w:type="default" r:id="rId7"/>
      <w:footerReference w:type="even" r:id="rId8"/>
      <w:footerReference w:type="default" r:id="rId9"/>
      <w:footerReference w:type="first" r:id="rId10"/>
      <w:pgSz w:w="11906" w:h="16838"/>
      <w:pgMar w:top="611" w:right="1510" w:bottom="1931"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AED9" w14:textId="77777777" w:rsidR="003D299F" w:rsidRDefault="003D299F">
      <w:pPr>
        <w:spacing w:after="0" w:line="240" w:lineRule="auto"/>
      </w:pPr>
      <w:r>
        <w:separator/>
      </w:r>
    </w:p>
  </w:endnote>
  <w:endnote w:type="continuationSeparator" w:id="0">
    <w:p w14:paraId="33084440" w14:textId="77777777" w:rsidR="003D299F" w:rsidRDefault="003D2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1BC1" w14:textId="77777777" w:rsidR="00BD6DC7" w:rsidRDefault="00CC0BD5">
    <w:pPr>
      <w:tabs>
        <w:tab w:val="center" w:pos="5041"/>
        <w:tab w:val="center" w:pos="5761"/>
        <w:tab w:val="center" w:pos="6481"/>
        <w:tab w:val="center" w:pos="7758"/>
      </w:tabs>
      <w:spacing w:after="17"/>
    </w:pPr>
    <w:r>
      <w:rPr>
        <w:rFonts w:ascii="Arial" w:eastAsia="Arial" w:hAnsi="Arial" w:cs="Arial"/>
        <w:sz w:val="16"/>
      </w:rPr>
      <w:t xml:space="preserve">Taxation, Retail Investment and Pensions Assignment 3 Notes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2018/19 Edition </w:t>
    </w:r>
  </w:p>
  <w:p w14:paraId="04A9952E" w14:textId="77777777" w:rsidR="00BD6DC7" w:rsidRDefault="00CC0BD5">
    <w:pPr>
      <w:spacing w:after="12"/>
    </w:pPr>
    <w:r>
      <w:rPr>
        <w:rFonts w:ascii="Arial" w:eastAsia="Arial" w:hAnsi="Arial" w:cs="Arial"/>
        <w:sz w:val="16"/>
      </w:rPr>
      <w:t xml:space="preserve">© The Pensions Management Institute 2019 </w:t>
    </w:r>
  </w:p>
  <w:p w14:paraId="78CCC5EC" w14:textId="77777777" w:rsidR="00BD6DC7" w:rsidRDefault="00CC0BD5">
    <w:pPr>
      <w:spacing w:after="0"/>
    </w:pP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B4FA" w14:textId="2AFED254" w:rsidR="00BD6DC7" w:rsidRDefault="00CC0BD5">
    <w:pPr>
      <w:tabs>
        <w:tab w:val="center" w:pos="5041"/>
        <w:tab w:val="center" w:pos="5761"/>
        <w:tab w:val="center" w:pos="6481"/>
        <w:tab w:val="center" w:pos="7758"/>
      </w:tabs>
      <w:spacing w:after="17"/>
    </w:pPr>
    <w:r>
      <w:rPr>
        <w:rFonts w:ascii="Arial" w:eastAsia="Arial" w:hAnsi="Arial" w:cs="Arial"/>
        <w:sz w:val="16"/>
      </w:rPr>
      <w:t xml:space="preserve">Taxation, Retail Investment and Pensions Assignment 3 Notes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20</w:t>
    </w:r>
    <w:r w:rsidR="00097D33">
      <w:rPr>
        <w:rFonts w:ascii="Arial" w:eastAsia="Arial" w:hAnsi="Arial" w:cs="Arial"/>
        <w:sz w:val="16"/>
      </w:rPr>
      <w:t>22</w:t>
    </w:r>
    <w:r>
      <w:rPr>
        <w:rFonts w:ascii="Arial" w:eastAsia="Arial" w:hAnsi="Arial" w:cs="Arial"/>
        <w:sz w:val="16"/>
      </w:rPr>
      <w:t xml:space="preserve"> Edition </w:t>
    </w:r>
  </w:p>
  <w:p w14:paraId="36179C02" w14:textId="22040785" w:rsidR="00BD6DC7" w:rsidRDefault="00CC0BD5">
    <w:pPr>
      <w:spacing w:after="12"/>
    </w:pPr>
    <w:r>
      <w:rPr>
        <w:rFonts w:ascii="Arial" w:eastAsia="Arial" w:hAnsi="Arial" w:cs="Arial"/>
        <w:sz w:val="16"/>
      </w:rPr>
      <w:t xml:space="preserve">© The Pensions Management Institute </w:t>
    </w:r>
    <w:r w:rsidR="00097D33">
      <w:rPr>
        <w:rFonts w:ascii="Arial" w:eastAsia="Arial" w:hAnsi="Arial" w:cs="Arial"/>
        <w:sz w:val="16"/>
      </w:rPr>
      <w:t>2021</w:t>
    </w:r>
    <w:r>
      <w:rPr>
        <w:rFonts w:ascii="Arial" w:eastAsia="Arial" w:hAnsi="Arial" w:cs="Arial"/>
        <w:sz w:val="16"/>
      </w:rPr>
      <w:t xml:space="preserve"> </w:t>
    </w:r>
  </w:p>
  <w:p w14:paraId="42C8D39D" w14:textId="77777777" w:rsidR="00BD6DC7" w:rsidRDefault="00CC0BD5">
    <w:pPr>
      <w:spacing w:after="0"/>
    </w:pP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B830" w14:textId="77777777" w:rsidR="00BD6DC7" w:rsidRDefault="00CC0BD5">
    <w:pPr>
      <w:tabs>
        <w:tab w:val="center" w:pos="5041"/>
        <w:tab w:val="center" w:pos="5761"/>
        <w:tab w:val="center" w:pos="6481"/>
        <w:tab w:val="center" w:pos="7758"/>
      </w:tabs>
      <w:spacing w:after="17"/>
    </w:pPr>
    <w:r>
      <w:rPr>
        <w:rFonts w:ascii="Arial" w:eastAsia="Arial" w:hAnsi="Arial" w:cs="Arial"/>
        <w:sz w:val="16"/>
      </w:rPr>
      <w:t xml:space="preserve">Taxation, Retail Investment and Pensions Assignment 3 Notes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 </w:t>
    </w:r>
    <w:r>
      <w:rPr>
        <w:rFonts w:ascii="Arial" w:eastAsia="Arial" w:hAnsi="Arial" w:cs="Arial"/>
        <w:sz w:val="16"/>
      </w:rPr>
      <w:tab/>
      <w:t xml:space="preserve">2018/19 Edition </w:t>
    </w:r>
  </w:p>
  <w:p w14:paraId="104A0346" w14:textId="77777777" w:rsidR="00BD6DC7" w:rsidRDefault="00CC0BD5">
    <w:pPr>
      <w:spacing w:after="12"/>
    </w:pPr>
    <w:r>
      <w:rPr>
        <w:rFonts w:ascii="Arial" w:eastAsia="Arial" w:hAnsi="Arial" w:cs="Arial"/>
        <w:sz w:val="16"/>
      </w:rPr>
      <w:t xml:space="preserve">© The Pensions Management Institute 2019 </w:t>
    </w:r>
  </w:p>
  <w:p w14:paraId="026C5566" w14:textId="77777777" w:rsidR="00BD6DC7" w:rsidRDefault="00CC0BD5">
    <w:pPr>
      <w:spacing w:after="0"/>
    </w:pPr>
    <w:r>
      <w:rPr>
        <w:rFonts w:ascii="Arial" w:eastAsia="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BE52" w14:textId="77777777" w:rsidR="003D299F" w:rsidRDefault="003D299F">
      <w:pPr>
        <w:spacing w:after="0" w:line="240" w:lineRule="auto"/>
      </w:pPr>
      <w:r>
        <w:separator/>
      </w:r>
    </w:p>
  </w:footnote>
  <w:footnote w:type="continuationSeparator" w:id="0">
    <w:p w14:paraId="01706871" w14:textId="77777777" w:rsidR="003D299F" w:rsidRDefault="003D2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EDDB" w14:textId="102AFAC9" w:rsidR="00D257CA" w:rsidRDefault="00D257CA" w:rsidP="00D257CA">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59264" behindDoc="0" locked="0" layoutInCell="1" allowOverlap="1" wp14:anchorId="5D4E268E" wp14:editId="0088838A">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5969CFC" w14:textId="77777777" w:rsidR="00D257CA" w:rsidRDefault="00D257CA" w:rsidP="00D257CA">
    <w:pPr>
      <w:spacing w:after="0"/>
      <w:jc w:val="right"/>
      <w:rPr>
        <w:b/>
        <w:bCs/>
        <w:lang w:val="en-US"/>
      </w:rPr>
    </w:pPr>
    <w:r>
      <w:rPr>
        <w:lang w:val="en-US"/>
      </w:rPr>
      <w:t xml:space="preserve">60 Goswell Road </w:t>
    </w:r>
  </w:p>
  <w:p w14:paraId="0E1152C1" w14:textId="77777777" w:rsidR="00D257CA" w:rsidRDefault="00D257CA" w:rsidP="00D257CA">
    <w:pPr>
      <w:spacing w:after="0"/>
      <w:jc w:val="right"/>
      <w:rPr>
        <w:b/>
        <w:bCs/>
        <w:lang w:val="en-US"/>
      </w:rPr>
    </w:pPr>
    <w:r>
      <w:rPr>
        <w:lang w:val="en-US"/>
      </w:rPr>
      <w:t xml:space="preserve">London </w:t>
    </w:r>
  </w:p>
  <w:p w14:paraId="49A07C78" w14:textId="77777777" w:rsidR="00D257CA" w:rsidRDefault="00D257CA" w:rsidP="00D257CA">
    <w:pPr>
      <w:spacing w:after="0"/>
      <w:jc w:val="right"/>
      <w:rPr>
        <w:b/>
        <w:bCs/>
        <w:lang w:val="en-US"/>
      </w:rPr>
    </w:pPr>
    <w:r>
      <w:rPr>
        <w:lang w:val="en-US"/>
      </w:rPr>
      <w:t xml:space="preserve">EC1M 7AD </w:t>
    </w:r>
  </w:p>
  <w:p w14:paraId="2CD3F6F0" w14:textId="77777777" w:rsidR="00D257CA" w:rsidRDefault="00D257CA" w:rsidP="00D257CA">
    <w:pPr>
      <w:spacing w:after="0"/>
      <w:jc w:val="right"/>
      <w:rPr>
        <w:b/>
        <w:bCs/>
        <w:lang w:val="en-US"/>
      </w:rPr>
    </w:pPr>
    <w:r>
      <w:rPr>
        <w:lang w:val="en-US"/>
      </w:rPr>
      <w:t xml:space="preserve">T: +44 (0) 20 7247 1452 </w:t>
    </w:r>
  </w:p>
  <w:p w14:paraId="5AB52BE1" w14:textId="77777777" w:rsidR="00D257CA" w:rsidRDefault="00D257CA" w:rsidP="00D257CA">
    <w:pPr>
      <w:spacing w:after="0"/>
      <w:jc w:val="right"/>
      <w:rPr>
        <w:b/>
        <w:bCs/>
        <w:lang w:val="en-US"/>
      </w:rPr>
    </w:pPr>
    <w:r>
      <w:rPr>
        <w:lang w:val="en-US"/>
      </w:rPr>
      <w:t>W: www.pensions-pmi.org.uk</w:t>
    </w:r>
  </w:p>
  <w:p w14:paraId="6C4DF58D" w14:textId="77777777" w:rsidR="00D257CA" w:rsidRDefault="00D25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15D2A"/>
    <w:multiLevelType w:val="hybridMultilevel"/>
    <w:tmpl w:val="D90C3146"/>
    <w:lvl w:ilvl="0" w:tplc="C52CD436">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BBD2220C">
      <w:start w:val="1"/>
      <w:numFmt w:val="lowerRoman"/>
      <w:lvlText w:val="(%2)"/>
      <w:lvlJc w:val="left"/>
      <w:pPr>
        <w:ind w:left="85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8D441212">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85CA117E">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99A6D08">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486A87FA">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0B5C098C">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7FA010C">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65086A46">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3873ACE"/>
    <w:multiLevelType w:val="hybridMultilevel"/>
    <w:tmpl w:val="44A00B18"/>
    <w:lvl w:ilvl="0" w:tplc="14BCC838">
      <w:start w:val="1"/>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84FE9CBA">
      <w:start w:val="1"/>
      <w:numFmt w:val="bullet"/>
      <w:lvlText w:val="•"/>
      <w:lvlJc w:val="left"/>
      <w:pPr>
        <w:ind w:left="837"/>
      </w:pPr>
      <w:rPr>
        <w:rFonts w:ascii="Arial" w:eastAsia="Arial" w:hAnsi="Arial" w:cs="Arial"/>
        <w:b w:val="0"/>
        <w:i w:val="0"/>
        <w:strike w:val="0"/>
        <w:dstrike w:val="0"/>
        <w:color w:val="231F20"/>
        <w:sz w:val="19"/>
        <w:szCs w:val="19"/>
        <w:u w:val="none" w:color="000000"/>
        <w:bdr w:val="none" w:sz="0" w:space="0" w:color="auto"/>
        <w:shd w:val="clear" w:color="auto" w:fill="auto"/>
        <w:vertAlign w:val="baseline"/>
      </w:rPr>
    </w:lvl>
    <w:lvl w:ilvl="2" w:tplc="0E2E3776">
      <w:start w:val="15"/>
      <w:numFmt w:val="decimal"/>
      <w:lvlText w:val="%3"/>
      <w:lvlJc w:val="left"/>
      <w:pPr>
        <w:ind w:left="43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396E7C6A">
      <w:start w:val="1"/>
      <w:numFmt w:val="decimal"/>
      <w:lvlText w:val="%4"/>
      <w:lvlJc w:val="left"/>
      <w:pPr>
        <w:ind w:left="921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6882D4A0">
      <w:start w:val="1"/>
      <w:numFmt w:val="lowerLetter"/>
      <w:lvlText w:val="%5"/>
      <w:lvlJc w:val="left"/>
      <w:pPr>
        <w:ind w:left="993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BEFA26C8">
      <w:start w:val="1"/>
      <w:numFmt w:val="lowerRoman"/>
      <w:lvlText w:val="%6"/>
      <w:lvlJc w:val="left"/>
      <w:pPr>
        <w:ind w:left="1065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45FEB3CC">
      <w:start w:val="1"/>
      <w:numFmt w:val="decimal"/>
      <w:lvlText w:val="%7"/>
      <w:lvlJc w:val="left"/>
      <w:pPr>
        <w:ind w:left="1137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3CCE3714">
      <w:start w:val="1"/>
      <w:numFmt w:val="lowerLetter"/>
      <w:lvlText w:val="%8"/>
      <w:lvlJc w:val="left"/>
      <w:pPr>
        <w:ind w:left="1209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599E8DB0">
      <w:start w:val="1"/>
      <w:numFmt w:val="lowerRoman"/>
      <w:lvlText w:val="%9"/>
      <w:lvlJc w:val="left"/>
      <w:pPr>
        <w:ind w:left="12813"/>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DC7"/>
    <w:rsid w:val="00000024"/>
    <w:rsid w:val="00097D33"/>
    <w:rsid w:val="00160A76"/>
    <w:rsid w:val="0016514C"/>
    <w:rsid w:val="003D299F"/>
    <w:rsid w:val="004C5BC6"/>
    <w:rsid w:val="00651077"/>
    <w:rsid w:val="006A3BDC"/>
    <w:rsid w:val="00A92320"/>
    <w:rsid w:val="00B60427"/>
    <w:rsid w:val="00BD6DC7"/>
    <w:rsid w:val="00C13C19"/>
    <w:rsid w:val="00CC0BD5"/>
    <w:rsid w:val="00D25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05993"/>
  <w15:docId w15:val="{E9E239E9-EC56-4204-82B4-2FF351B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7C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820122">
      <w:bodyDiv w:val="1"/>
      <w:marLeft w:val="0"/>
      <w:marRight w:val="0"/>
      <w:marTop w:val="0"/>
      <w:marBottom w:val="0"/>
      <w:divBdr>
        <w:top w:val="none" w:sz="0" w:space="0" w:color="auto"/>
        <w:left w:val="none" w:sz="0" w:space="0" w:color="auto"/>
        <w:bottom w:val="none" w:sz="0" w:space="0" w:color="auto"/>
        <w:right w:val="none" w:sz="0" w:space="0" w:color="auto"/>
      </w:divBdr>
    </w:div>
    <w:div w:id="1355110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4255</TotalTime>
  <Pages>6</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Rapinder Dhillon</cp:lastModifiedBy>
  <cp:revision>5</cp:revision>
  <dcterms:created xsi:type="dcterms:W3CDTF">2021-11-25T14:12:00Z</dcterms:created>
  <dcterms:modified xsi:type="dcterms:W3CDTF">2021-11-30T09:09:00Z</dcterms:modified>
</cp:coreProperties>
</file>