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3D9F664F" w14:textId="7191A9EF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7C31369F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724B579" w14:textId="6437B075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 xml:space="preserve">Assignment 3 </w:t>
      </w:r>
      <w:r w:rsidR="00DD543A" w:rsidRPr="00393C5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393C5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11CA5272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5D71A71" w14:textId="7311D4B1" w:rsidR="00DD543A" w:rsidRPr="00393C54" w:rsidRDefault="0094771D" w:rsidP="00DD543A">
      <w:pPr>
        <w:jc w:val="center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(Part 4 – Allowances)</w:t>
      </w:r>
    </w:p>
    <w:p w14:paraId="390E424A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652B574" w14:textId="0A027BEA" w:rsidR="00BE1F3E" w:rsidRDefault="0094771D" w:rsidP="00DD543A">
      <w:pPr>
        <w:jc w:val="center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Recommended Time: 1 Hour</w:t>
      </w:r>
    </w:p>
    <w:p w14:paraId="1C588731" w14:textId="77777777" w:rsidR="00BB020C" w:rsidRPr="00393C54" w:rsidRDefault="00BB020C" w:rsidP="00DD543A">
      <w:pPr>
        <w:jc w:val="center"/>
        <w:rPr>
          <w:rFonts w:asciiTheme="minorHAnsi" w:hAnsiTheme="minorHAnsi" w:cstheme="minorHAnsi"/>
        </w:rPr>
      </w:pPr>
    </w:p>
    <w:p w14:paraId="436CDBC3" w14:textId="33760C55" w:rsidR="00BE1F3E" w:rsidRPr="00393C54" w:rsidRDefault="006B6773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E</w:t>
      </w:r>
      <w:r w:rsidR="00373C6D" w:rsidRPr="00393C54">
        <w:rPr>
          <w:rFonts w:asciiTheme="minorHAnsi" w:hAnsiTheme="minorHAnsi" w:cstheme="minorHAnsi"/>
          <w:sz w:val="22"/>
          <w:szCs w:val="22"/>
        </w:rPr>
        <w:t>xplain Primary Protection and Enhanced Protection</w:t>
      </w:r>
      <w:r w:rsidR="00664F90" w:rsidRPr="00393C54">
        <w:rPr>
          <w:rFonts w:asciiTheme="minorHAnsi" w:hAnsiTheme="minorHAnsi" w:cstheme="minorHAnsi"/>
          <w:sz w:val="22"/>
          <w:szCs w:val="22"/>
        </w:rPr>
        <w:t>.</w:t>
      </w:r>
    </w:p>
    <w:p w14:paraId="423797CA" w14:textId="77777777" w:rsidR="00BE1F3E" w:rsidRPr="00393C54" w:rsidRDefault="00BE1F3E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69C6F2F4" w14:textId="2F1D3712" w:rsidR="00BE1F3E" w:rsidRPr="00D64216" w:rsidRDefault="0094771D" w:rsidP="00A619E2">
      <w:pPr>
        <w:pStyle w:val="BodyText"/>
        <w:ind w:left="760" w:firstLine="160"/>
        <w:rPr>
          <w:rFonts w:asciiTheme="minorHAnsi" w:hAnsiTheme="minorHAnsi" w:cstheme="minorHAnsi"/>
          <w:sz w:val="22"/>
          <w:szCs w:val="22"/>
        </w:rPr>
      </w:pPr>
      <w:r w:rsidRPr="00D64216">
        <w:rPr>
          <w:rFonts w:asciiTheme="minorHAnsi" w:hAnsiTheme="minorHAnsi" w:cstheme="minorHAnsi"/>
          <w:sz w:val="22"/>
          <w:szCs w:val="22"/>
        </w:rPr>
        <w:t>Answer should cover:</w:t>
      </w:r>
    </w:p>
    <w:p w14:paraId="0ED68B0E" w14:textId="57A13F92" w:rsidR="00A619E2" w:rsidRPr="00393C54" w:rsidRDefault="00A619E2" w:rsidP="00A619E2">
      <w:pPr>
        <w:pStyle w:val="BodyText"/>
        <w:ind w:left="760" w:firstLine="160"/>
        <w:rPr>
          <w:rFonts w:asciiTheme="minorHAnsi" w:hAnsiTheme="minorHAnsi" w:cstheme="minorHAnsi"/>
          <w:w w:val="48"/>
          <w:sz w:val="22"/>
          <w:szCs w:val="22"/>
        </w:rPr>
      </w:pPr>
    </w:p>
    <w:p w14:paraId="0E62E946" w14:textId="77777777" w:rsidR="00A619E2" w:rsidRPr="00393C54" w:rsidRDefault="00A619E2" w:rsidP="00A619E2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Primary protection:</w:t>
      </w:r>
    </w:p>
    <w:p w14:paraId="40FA1241" w14:textId="09766176" w:rsidR="00A619E2" w:rsidRPr="00393C54" w:rsidRDefault="00A619E2" w:rsidP="00A619E2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 xml:space="preserve">available to members who had already accrued benefits with a value greater than £1.5 million </w:t>
      </w:r>
      <w:proofErr w:type="gramStart"/>
      <w:r w:rsidRPr="00393C54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393C54">
        <w:rPr>
          <w:rFonts w:asciiTheme="minorHAnsi" w:hAnsiTheme="minorHAnsi" w:cstheme="minorHAnsi"/>
          <w:sz w:val="22"/>
          <w:szCs w:val="22"/>
        </w:rPr>
        <w:t xml:space="preserve"> 5 April 2006</w:t>
      </w:r>
    </w:p>
    <w:p w14:paraId="2C8D9257" w14:textId="77777777" w:rsidR="00D53461" w:rsidRPr="00393C54" w:rsidRDefault="00A619E2" w:rsidP="00D53461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 xml:space="preserve">The value of their accrued benefits as at that </w:t>
      </w:r>
      <w:proofErr w:type="gramStart"/>
      <w:r w:rsidRPr="00393C54">
        <w:rPr>
          <w:rFonts w:asciiTheme="minorHAnsi" w:hAnsiTheme="minorHAnsi" w:cstheme="minorHAnsi"/>
          <w:sz w:val="22"/>
          <w:szCs w:val="22"/>
        </w:rPr>
        <w:t>date  is</w:t>
      </w:r>
      <w:proofErr w:type="gramEnd"/>
      <w:r w:rsidRPr="00393C54">
        <w:rPr>
          <w:rFonts w:asciiTheme="minorHAnsi" w:hAnsiTheme="minorHAnsi" w:cstheme="minorHAnsi"/>
          <w:sz w:val="22"/>
          <w:szCs w:val="22"/>
        </w:rPr>
        <w:t xml:space="preserve"> protected from the Lifetime Allowance charge, but any further benefits are subject to the charge. </w:t>
      </w:r>
    </w:p>
    <w:p w14:paraId="4F277647" w14:textId="4E624F6B" w:rsidR="00A619E2" w:rsidRPr="00393C54" w:rsidRDefault="00A619E2" w:rsidP="00D53461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HMRC provides these individuals with an enhancement to the standard LTA</w:t>
      </w:r>
    </w:p>
    <w:p w14:paraId="10425A34" w14:textId="5C194D70" w:rsidR="00614DB7" w:rsidRPr="00393C54" w:rsidRDefault="00A619E2" w:rsidP="00614DB7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To maintain the value of primary protection when the standard LTA was reduced from £1.8 million to £1.5 million from 6 April 2012</w:t>
      </w:r>
      <w:r w:rsidR="00B007E7" w:rsidRPr="00393C54">
        <w:rPr>
          <w:rFonts w:asciiTheme="minorHAnsi" w:hAnsiTheme="minorHAnsi" w:cstheme="minorHAnsi"/>
          <w:sz w:val="22"/>
          <w:szCs w:val="22"/>
        </w:rPr>
        <w:t xml:space="preserve">, the </w:t>
      </w:r>
      <w:r w:rsidRPr="00393C54">
        <w:rPr>
          <w:rFonts w:asciiTheme="minorHAnsi" w:hAnsiTheme="minorHAnsi" w:cstheme="minorHAnsi"/>
          <w:sz w:val="22"/>
          <w:szCs w:val="22"/>
        </w:rPr>
        <w:t xml:space="preserve">enhancement to the LTA is based on the larger of £1.8 million and the standard LTA at the point the member’s benefits are </w:t>
      </w:r>
      <w:proofErr w:type="gramStart"/>
      <w:r w:rsidRPr="00393C54">
        <w:rPr>
          <w:rFonts w:asciiTheme="minorHAnsi" w:hAnsiTheme="minorHAnsi" w:cstheme="minorHAnsi"/>
          <w:sz w:val="22"/>
          <w:szCs w:val="22"/>
        </w:rPr>
        <w:t>paid</w:t>
      </w:r>
      <w:r w:rsidR="005227A3" w:rsidRPr="00393C54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393C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F50963" w14:textId="77777777" w:rsidR="00614DB7" w:rsidRPr="00393C54" w:rsidRDefault="00614DB7" w:rsidP="00614DB7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Enhanced protection:</w:t>
      </w:r>
    </w:p>
    <w:p w14:paraId="16CDA7FC" w14:textId="7820534A" w:rsidR="00614DB7" w:rsidRPr="00393C54" w:rsidRDefault="00614DB7" w:rsidP="00614DB7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 xml:space="preserve">available to any member, although in practice only members with benefits valued </w:t>
      </w:r>
    </w:p>
    <w:p w14:paraId="5DA9580C" w14:textId="77777777" w:rsidR="00614DB7" w:rsidRPr="00393C54" w:rsidRDefault="00614DB7" w:rsidP="00614DB7">
      <w:pPr>
        <w:pStyle w:val="BodyText"/>
        <w:ind w:left="2000"/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 xml:space="preserve">above £1.5 million </w:t>
      </w:r>
      <w:proofErr w:type="gramStart"/>
      <w:r w:rsidRPr="00393C54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393C54">
        <w:rPr>
          <w:rFonts w:asciiTheme="minorHAnsi" w:hAnsiTheme="minorHAnsi" w:cstheme="minorHAnsi"/>
          <w:sz w:val="22"/>
          <w:szCs w:val="22"/>
        </w:rPr>
        <w:t xml:space="preserve"> 5 April 2006 are likely to have applied for it</w:t>
      </w:r>
    </w:p>
    <w:p w14:paraId="34FE7C46" w14:textId="77777777" w:rsidR="00614DB7" w:rsidRPr="00393C54" w:rsidRDefault="00614DB7" w:rsidP="00614DB7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a member’s benefits are completely protected from the Lifetime Allowance charge</w:t>
      </w:r>
    </w:p>
    <w:p w14:paraId="799AD2E3" w14:textId="77777777" w:rsidR="00614DB7" w:rsidRPr="00393C54" w:rsidRDefault="00614DB7" w:rsidP="00614DB7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 xml:space="preserve">no further contributions to DC schemes can be made </w:t>
      </w:r>
    </w:p>
    <w:p w14:paraId="6010B9AD" w14:textId="43486266" w:rsidR="00A619E2" w:rsidRPr="00393C54" w:rsidRDefault="00614DB7" w:rsidP="00614DB7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>the member can only accrue very limited benefits in DB schemes.</w:t>
      </w:r>
    </w:p>
    <w:p w14:paraId="4AF3C297" w14:textId="0920710D" w:rsidR="005B2F40" w:rsidRPr="00393C54" w:rsidRDefault="005B2F40" w:rsidP="005B2F40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 xml:space="preserve">A </w:t>
      </w:r>
      <w:r w:rsidR="005227A3" w:rsidRPr="00393C54">
        <w:rPr>
          <w:rFonts w:asciiTheme="minorHAnsi" w:hAnsiTheme="minorHAnsi" w:cstheme="minorHAnsi"/>
          <w:sz w:val="22"/>
          <w:szCs w:val="22"/>
        </w:rPr>
        <w:t xml:space="preserve">worked example </w:t>
      </w:r>
      <w:r w:rsidR="008C4A70" w:rsidRPr="00393C54">
        <w:rPr>
          <w:rFonts w:asciiTheme="minorHAnsi" w:hAnsiTheme="minorHAnsi" w:cstheme="minorHAnsi"/>
          <w:sz w:val="22"/>
          <w:szCs w:val="22"/>
        </w:rPr>
        <w:t xml:space="preserve">showing </w:t>
      </w:r>
      <w:r w:rsidR="00682643" w:rsidRPr="00393C54">
        <w:rPr>
          <w:rFonts w:asciiTheme="minorHAnsi" w:hAnsiTheme="minorHAnsi" w:cstheme="minorHAnsi"/>
          <w:sz w:val="22"/>
          <w:szCs w:val="22"/>
        </w:rPr>
        <w:t>the</w:t>
      </w:r>
      <w:r w:rsidR="00F3149E" w:rsidRPr="00393C54">
        <w:rPr>
          <w:rFonts w:asciiTheme="minorHAnsi" w:hAnsiTheme="minorHAnsi" w:cstheme="minorHAnsi"/>
          <w:sz w:val="22"/>
          <w:szCs w:val="22"/>
        </w:rPr>
        <w:t xml:space="preserve"> enhanced LTA for a member with Primary Protection.</w:t>
      </w:r>
      <w:r w:rsidR="008C4A70" w:rsidRPr="00393C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35AED" w14:textId="77777777" w:rsidR="00BE1F3E" w:rsidRPr="00393C54" w:rsidRDefault="00BE1F3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DAE4D2B" w14:textId="1939F653" w:rsidR="00BE1F3E" w:rsidRPr="00393C54" w:rsidRDefault="00664F90" w:rsidP="0004795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  <w:r w:rsidRPr="00393C54">
        <w:rPr>
          <w:rFonts w:asciiTheme="minorHAnsi" w:hAnsiTheme="minorHAnsi" w:cstheme="minorHAnsi"/>
          <w:sz w:val="22"/>
          <w:szCs w:val="22"/>
        </w:rPr>
        <w:tab/>
      </w:r>
      <w:r w:rsidR="00D45D3B">
        <w:rPr>
          <w:rFonts w:asciiTheme="minorHAnsi" w:hAnsiTheme="minorHAnsi" w:cstheme="minorHAnsi"/>
          <w:sz w:val="22"/>
          <w:szCs w:val="22"/>
        </w:rPr>
        <w:t xml:space="preserve">    </w:t>
      </w:r>
      <w:r w:rsidR="00D45D3B" w:rsidRPr="00D45D3B">
        <w:rPr>
          <w:rFonts w:asciiTheme="minorHAnsi" w:hAnsiTheme="minorHAnsi" w:cstheme="minorHAnsi"/>
          <w:sz w:val="22"/>
          <w:szCs w:val="22"/>
        </w:rPr>
        <w:t xml:space="preserve">Relevant section </w:t>
      </w:r>
      <w:r w:rsidR="00D45D3B" w:rsidRPr="00A36A18">
        <w:rPr>
          <w:rFonts w:asciiTheme="minorHAnsi" w:hAnsiTheme="minorHAnsi" w:cstheme="minorHAnsi"/>
          <w:sz w:val="22"/>
          <w:szCs w:val="22"/>
        </w:rPr>
        <w:t>of th</w:t>
      </w:r>
      <w:r w:rsidR="00D45D3B" w:rsidRPr="00D45D3B">
        <w:rPr>
          <w:rFonts w:asciiTheme="minorHAnsi" w:hAnsiTheme="minorHAnsi" w:cstheme="minorHAnsi"/>
          <w:sz w:val="22"/>
          <w:szCs w:val="22"/>
        </w:rPr>
        <w:t>e manual i</w:t>
      </w:r>
      <w:r w:rsidR="00D45D3B">
        <w:rPr>
          <w:rFonts w:asciiTheme="minorHAnsi" w:hAnsiTheme="minorHAnsi" w:cstheme="minorHAnsi"/>
          <w:sz w:val="22"/>
          <w:szCs w:val="22"/>
        </w:rPr>
        <w:t>s</w:t>
      </w:r>
      <w:r w:rsidR="00D45D3B" w:rsidRPr="00D45D3B">
        <w:rPr>
          <w:rFonts w:asciiTheme="minorHAnsi" w:hAnsiTheme="minorHAnsi" w:cstheme="minorHAnsi"/>
          <w:sz w:val="22"/>
          <w:szCs w:val="22"/>
        </w:rPr>
        <w:t xml:space="preserve"> Part 4 Chapter </w:t>
      </w:r>
      <w:r w:rsidR="00D45D3B">
        <w:rPr>
          <w:rFonts w:asciiTheme="minorHAnsi" w:hAnsiTheme="minorHAnsi" w:cstheme="minorHAnsi"/>
          <w:sz w:val="22"/>
          <w:szCs w:val="22"/>
        </w:rPr>
        <w:t>3</w:t>
      </w:r>
      <w:r w:rsidR="00D45D3B" w:rsidRPr="00D45D3B">
        <w:rPr>
          <w:rFonts w:asciiTheme="minorHAnsi" w:hAnsiTheme="minorHAnsi" w:cstheme="minorHAnsi"/>
          <w:sz w:val="22"/>
          <w:szCs w:val="22"/>
        </w:rPr>
        <w:t>.1.</w:t>
      </w:r>
    </w:p>
    <w:p w14:paraId="28BAB0CE" w14:textId="478092B6" w:rsidR="00BE1F3E" w:rsidRPr="00393C54" w:rsidRDefault="00F3149E" w:rsidP="00DD543A">
      <w:pPr>
        <w:pStyle w:val="Heading1"/>
        <w:spacing w:before="5"/>
        <w:ind w:left="8837" w:firstLine="523"/>
        <w:rPr>
          <w:rFonts w:asciiTheme="minorHAnsi" w:hAnsiTheme="minorHAnsi" w:cstheme="minorHAnsi"/>
          <w:sz w:val="22"/>
          <w:szCs w:val="22"/>
        </w:rPr>
      </w:pPr>
      <w:r w:rsidRPr="00A36A18">
        <w:rPr>
          <w:rFonts w:asciiTheme="minorHAnsi" w:hAnsiTheme="minorHAnsi" w:cstheme="minorHAnsi"/>
          <w:sz w:val="22"/>
          <w:szCs w:val="22"/>
        </w:rPr>
        <w:t>1</w:t>
      </w:r>
      <w:r w:rsidR="0094771D" w:rsidRPr="00A36A18">
        <w:rPr>
          <w:rFonts w:asciiTheme="minorHAnsi" w:hAnsiTheme="minorHAnsi" w:cstheme="minorHAnsi"/>
          <w:sz w:val="22"/>
          <w:szCs w:val="22"/>
        </w:rPr>
        <w:t>0 mark</w:t>
      </w:r>
      <w:r w:rsidR="00A36A18">
        <w:rPr>
          <w:rFonts w:asciiTheme="minorHAnsi" w:hAnsiTheme="minorHAnsi" w:cstheme="minorHAnsi"/>
          <w:sz w:val="22"/>
          <w:szCs w:val="22"/>
        </w:rPr>
        <w:t>s</w:t>
      </w:r>
    </w:p>
    <w:p w14:paraId="54DB12DD" w14:textId="77777777" w:rsidR="006F3176" w:rsidRPr="006F3176" w:rsidRDefault="006F3176" w:rsidP="006F3176">
      <w:pPr>
        <w:pStyle w:val="ListParagraph"/>
        <w:tabs>
          <w:tab w:val="left" w:pos="920"/>
          <w:tab w:val="left" w:pos="921"/>
        </w:tabs>
        <w:spacing w:before="78" w:line="247" w:lineRule="auto"/>
        <w:ind w:right="548" w:firstLine="0"/>
        <w:rPr>
          <w:rFonts w:asciiTheme="minorHAnsi" w:hAnsiTheme="minorHAnsi" w:cstheme="minorHAnsi"/>
          <w:b/>
        </w:rPr>
      </w:pPr>
    </w:p>
    <w:p w14:paraId="1621C36B" w14:textId="2D34923E" w:rsidR="00BE1F3E" w:rsidRPr="00393C54" w:rsidRDefault="00743D62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Theme="minorHAnsi" w:hAnsiTheme="minorHAnsi" w:cstheme="minorHAnsi"/>
          <w:b/>
        </w:rPr>
      </w:pPr>
      <w:r w:rsidRPr="00A36A18">
        <w:rPr>
          <w:rFonts w:asciiTheme="minorHAnsi" w:hAnsiTheme="minorHAnsi" w:cstheme="minorHAnsi"/>
          <w:b/>
          <w:bCs/>
        </w:rPr>
        <w:t xml:space="preserve">Outline the changes </w:t>
      </w:r>
      <w:r w:rsidR="00A36A18" w:rsidRPr="00A36A18">
        <w:rPr>
          <w:rFonts w:asciiTheme="minorHAnsi" w:hAnsiTheme="minorHAnsi" w:cstheme="minorHAnsi"/>
          <w:b/>
          <w:bCs/>
        </w:rPr>
        <w:t>to the Annual</w:t>
      </w:r>
      <w:r w:rsidR="00A36A18">
        <w:rPr>
          <w:rFonts w:asciiTheme="minorHAnsi" w:hAnsiTheme="minorHAnsi" w:cstheme="minorHAnsi"/>
          <w:b/>
          <w:bCs/>
        </w:rPr>
        <w:t xml:space="preserve"> Allowance </w:t>
      </w:r>
      <w:r w:rsidR="000D7B81">
        <w:rPr>
          <w:rFonts w:asciiTheme="minorHAnsi" w:hAnsiTheme="minorHAnsi" w:cstheme="minorHAnsi"/>
          <w:b/>
          <w:bCs/>
        </w:rPr>
        <w:t>were announced in the Summer Budget 2015</w:t>
      </w:r>
      <w:r w:rsidR="005F511E">
        <w:rPr>
          <w:rFonts w:asciiTheme="minorHAnsi" w:hAnsiTheme="minorHAnsi" w:cstheme="minorHAnsi"/>
          <w:b/>
          <w:bCs/>
        </w:rPr>
        <w:t>.</w:t>
      </w:r>
    </w:p>
    <w:p w14:paraId="2852A315" w14:textId="77777777" w:rsidR="00BE1F3E" w:rsidRPr="00393C54" w:rsidRDefault="00BE1F3E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54733D9" w14:textId="77777777" w:rsidR="00BE1F3E" w:rsidRPr="00393C54" w:rsidRDefault="0094771D">
      <w:pPr>
        <w:pStyle w:val="BodyText"/>
        <w:ind w:left="920"/>
        <w:rPr>
          <w:rFonts w:asciiTheme="minorHAnsi" w:hAnsiTheme="minorHAnsi" w:cstheme="minorHAnsi"/>
          <w:sz w:val="22"/>
          <w:szCs w:val="22"/>
        </w:rPr>
      </w:pPr>
      <w:r w:rsidRPr="000D7B81">
        <w:rPr>
          <w:rFonts w:asciiTheme="minorHAnsi" w:hAnsiTheme="minorHAnsi" w:cstheme="minorHAnsi"/>
          <w:sz w:val="22"/>
          <w:szCs w:val="22"/>
        </w:rPr>
        <w:t>Answer should cover:</w:t>
      </w:r>
    </w:p>
    <w:p w14:paraId="179CCFCB" w14:textId="77777777" w:rsidR="00BE1F3E" w:rsidRPr="00393C54" w:rsidRDefault="00BE1F3E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59F9A99" w14:textId="5DD256BB" w:rsidR="00A367AA" w:rsidRDefault="003A6AB3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367AA">
        <w:rPr>
          <w:rFonts w:asciiTheme="minorHAnsi" w:hAnsiTheme="minorHAnsi" w:cstheme="minorHAnsi"/>
          <w:sz w:val="22"/>
          <w:szCs w:val="22"/>
        </w:rPr>
        <w:t>hanges effective from 6 April 2015</w:t>
      </w:r>
    </w:p>
    <w:p w14:paraId="07A576EA" w14:textId="26420CCD" w:rsidR="00806807" w:rsidRDefault="00743D62" w:rsidP="00806807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806807">
        <w:rPr>
          <w:rFonts w:asciiTheme="minorHAnsi" w:hAnsiTheme="minorHAnsi" w:cstheme="minorHAnsi"/>
          <w:sz w:val="22"/>
          <w:szCs w:val="22"/>
        </w:rPr>
        <w:t xml:space="preserve">pension input periods </w:t>
      </w:r>
      <w:r w:rsidR="005D3D41">
        <w:rPr>
          <w:rFonts w:asciiTheme="minorHAnsi" w:hAnsiTheme="minorHAnsi" w:cstheme="minorHAnsi"/>
          <w:sz w:val="22"/>
          <w:szCs w:val="22"/>
        </w:rPr>
        <w:t xml:space="preserve">(PIPs) </w:t>
      </w:r>
      <w:r w:rsidR="003A6AB3">
        <w:rPr>
          <w:rFonts w:asciiTheme="minorHAnsi" w:hAnsiTheme="minorHAnsi" w:cstheme="minorHAnsi"/>
          <w:sz w:val="22"/>
          <w:szCs w:val="22"/>
        </w:rPr>
        <w:t xml:space="preserve">aligned </w:t>
      </w:r>
      <w:r w:rsidRPr="00806807">
        <w:rPr>
          <w:rFonts w:asciiTheme="minorHAnsi" w:hAnsiTheme="minorHAnsi" w:cstheme="minorHAnsi"/>
          <w:sz w:val="22"/>
          <w:szCs w:val="22"/>
        </w:rPr>
        <w:t xml:space="preserve">to the tax year with effect from 6 April 2016 </w:t>
      </w:r>
    </w:p>
    <w:p w14:paraId="1C61C1F5" w14:textId="77777777" w:rsidR="000136FD" w:rsidRPr="00806807" w:rsidRDefault="000136FD" w:rsidP="000136FD">
      <w:pPr>
        <w:pStyle w:val="BodyText"/>
        <w:numPr>
          <w:ilvl w:val="0"/>
          <w:numId w:val="12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806807">
        <w:rPr>
          <w:rFonts w:asciiTheme="minorHAnsi" w:hAnsiTheme="minorHAnsi" w:cstheme="minorHAnsi"/>
          <w:sz w:val="22"/>
          <w:szCs w:val="22"/>
        </w:rPr>
        <w:t>transitional provisions in place for the 2015/16 tax year, which in broad terms were:</w:t>
      </w:r>
    </w:p>
    <w:p w14:paraId="6D5A91AB" w14:textId="77777777" w:rsidR="000136FD" w:rsidRPr="00743D62" w:rsidRDefault="000136FD" w:rsidP="000136FD">
      <w:pPr>
        <w:pStyle w:val="BodyText"/>
        <w:numPr>
          <w:ilvl w:val="0"/>
          <w:numId w:val="13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743D62">
        <w:rPr>
          <w:rFonts w:asciiTheme="minorHAnsi" w:hAnsiTheme="minorHAnsi" w:cstheme="minorHAnsi"/>
          <w:sz w:val="22"/>
          <w:szCs w:val="22"/>
        </w:rPr>
        <w:t>All 2015/16 pension input periods ran on until 5 April 2016</w:t>
      </w:r>
    </w:p>
    <w:p w14:paraId="469339C4" w14:textId="77777777" w:rsidR="000136FD" w:rsidRPr="00743D62" w:rsidRDefault="000136FD" w:rsidP="000136FD">
      <w:pPr>
        <w:pStyle w:val="BodyText"/>
        <w:numPr>
          <w:ilvl w:val="0"/>
          <w:numId w:val="13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743D62">
        <w:rPr>
          <w:rFonts w:asciiTheme="minorHAnsi" w:hAnsiTheme="minorHAnsi" w:cstheme="minorHAnsi"/>
          <w:sz w:val="22"/>
          <w:szCs w:val="22"/>
        </w:rPr>
        <w:t>The pension input period was split into two mini periods:</w:t>
      </w:r>
    </w:p>
    <w:p w14:paraId="191BFCBB" w14:textId="77777777" w:rsidR="000136FD" w:rsidRDefault="000136FD" w:rsidP="000136FD">
      <w:pPr>
        <w:pStyle w:val="BodyText"/>
        <w:numPr>
          <w:ilvl w:val="1"/>
          <w:numId w:val="13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743D62">
        <w:rPr>
          <w:rFonts w:asciiTheme="minorHAnsi" w:hAnsiTheme="minorHAnsi" w:cstheme="minorHAnsi"/>
          <w:sz w:val="22"/>
          <w:szCs w:val="22"/>
        </w:rPr>
        <w:t xml:space="preserve">A pre alignment tax year that ran from the start of the </w:t>
      </w:r>
      <w:r>
        <w:rPr>
          <w:rFonts w:asciiTheme="minorHAnsi" w:hAnsiTheme="minorHAnsi" w:cstheme="minorHAnsi"/>
          <w:sz w:val="22"/>
          <w:szCs w:val="22"/>
        </w:rPr>
        <w:t>PIP</w:t>
      </w:r>
      <w:r w:rsidRPr="00743D62">
        <w:rPr>
          <w:rFonts w:asciiTheme="minorHAnsi" w:hAnsiTheme="minorHAnsi" w:cstheme="minorHAnsi"/>
          <w:sz w:val="22"/>
          <w:szCs w:val="22"/>
        </w:rPr>
        <w:t xml:space="preserve"> to 8 July 2015, and</w:t>
      </w:r>
    </w:p>
    <w:p w14:paraId="4EF1EB64" w14:textId="458BE2BA" w:rsidR="000136FD" w:rsidRPr="00743D62" w:rsidRDefault="000136FD" w:rsidP="000136FD">
      <w:pPr>
        <w:pStyle w:val="BodyText"/>
        <w:numPr>
          <w:ilvl w:val="2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5D3D41">
        <w:rPr>
          <w:rFonts w:asciiTheme="minorHAnsi" w:hAnsiTheme="minorHAnsi" w:cstheme="minorHAnsi"/>
          <w:sz w:val="22"/>
          <w:szCs w:val="22"/>
        </w:rPr>
        <w:t>A post alignment tax year that ran from 9 July 2015 to 5 April 2016</w:t>
      </w:r>
    </w:p>
    <w:p w14:paraId="27CBD615" w14:textId="00661CC6" w:rsidR="00743D62" w:rsidRPr="00743D62" w:rsidRDefault="007C1C76" w:rsidP="007C1C76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43D62" w:rsidRPr="00743D62">
        <w:rPr>
          <w:rFonts w:asciiTheme="minorHAnsi" w:hAnsiTheme="minorHAnsi" w:cstheme="minorHAnsi"/>
          <w:sz w:val="22"/>
          <w:szCs w:val="22"/>
        </w:rPr>
        <w:t xml:space="preserve">nnual Allowance of £80,000 applied for the 2015/16 tax year (plus carry forward from the three </w:t>
      </w:r>
    </w:p>
    <w:p w14:paraId="51E0B7FF" w14:textId="77777777" w:rsidR="00743D62" w:rsidRPr="00743D62" w:rsidRDefault="00743D62" w:rsidP="005F511E">
      <w:pPr>
        <w:pStyle w:val="BodyText"/>
        <w:spacing w:line="242" w:lineRule="auto"/>
        <w:ind w:left="1280" w:right="261"/>
        <w:rPr>
          <w:rFonts w:asciiTheme="minorHAnsi" w:hAnsiTheme="minorHAnsi" w:cstheme="minorHAnsi"/>
          <w:sz w:val="22"/>
          <w:szCs w:val="22"/>
        </w:rPr>
      </w:pPr>
      <w:r w:rsidRPr="00743D62">
        <w:rPr>
          <w:rFonts w:asciiTheme="minorHAnsi" w:hAnsiTheme="minorHAnsi" w:cstheme="minorHAnsi"/>
          <w:sz w:val="22"/>
          <w:szCs w:val="22"/>
        </w:rPr>
        <w:t>previous tax years), with a maximum of £40,000 applying in the post alignment tax year</w:t>
      </w:r>
    </w:p>
    <w:p w14:paraId="34FF9FB5" w14:textId="1A7820EB" w:rsidR="00743D62" w:rsidRPr="00743D62" w:rsidRDefault="007C1C76" w:rsidP="007C1C76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Tapered Annual Allowance introduced for high earners.</w:t>
      </w:r>
    </w:p>
    <w:p w14:paraId="720E5DC8" w14:textId="2C30BC51" w:rsidR="000D7B81" w:rsidRDefault="000D7B81" w:rsidP="00743D62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2"/>
          <w:szCs w:val="22"/>
        </w:rPr>
      </w:pPr>
    </w:p>
    <w:p w14:paraId="1C30BD27" w14:textId="6068FEB6" w:rsidR="00BE1F3E" w:rsidRPr="00393C54" w:rsidRDefault="000D7B81" w:rsidP="000D55D1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2"/>
          <w:szCs w:val="22"/>
        </w:rPr>
      </w:pPr>
      <w:r w:rsidRPr="00D45D3B">
        <w:rPr>
          <w:rFonts w:asciiTheme="minorHAnsi" w:hAnsiTheme="minorHAnsi" w:cstheme="minorHAnsi"/>
          <w:sz w:val="22"/>
          <w:szCs w:val="22"/>
        </w:rPr>
        <w:t xml:space="preserve">Relevant section </w:t>
      </w:r>
      <w:r w:rsidRPr="00A36A18">
        <w:rPr>
          <w:rFonts w:asciiTheme="minorHAnsi" w:hAnsiTheme="minorHAnsi" w:cstheme="minorHAnsi"/>
          <w:sz w:val="22"/>
          <w:szCs w:val="22"/>
        </w:rPr>
        <w:t>of th</w:t>
      </w:r>
      <w:r w:rsidRPr="00D45D3B">
        <w:rPr>
          <w:rFonts w:asciiTheme="minorHAnsi" w:hAnsiTheme="minorHAnsi" w:cstheme="minorHAnsi"/>
          <w:sz w:val="22"/>
          <w:szCs w:val="22"/>
        </w:rPr>
        <w:t>e manual 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45D3B">
        <w:rPr>
          <w:rFonts w:asciiTheme="minorHAnsi" w:hAnsiTheme="minorHAnsi" w:cstheme="minorHAnsi"/>
          <w:sz w:val="22"/>
          <w:szCs w:val="22"/>
        </w:rPr>
        <w:t xml:space="preserve"> Part 4 Chapter </w:t>
      </w:r>
      <w:r w:rsidR="003C596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0D55D1">
        <w:rPr>
          <w:rFonts w:asciiTheme="minorHAnsi" w:hAnsiTheme="minorHAnsi" w:cstheme="minorHAnsi"/>
          <w:sz w:val="22"/>
          <w:szCs w:val="22"/>
        </w:rPr>
        <w:t>ntroduction (page 87).</w:t>
      </w:r>
    </w:p>
    <w:p w14:paraId="547F1686" w14:textId="2FF659D0" w:rsidR="00BE1F3E" w:rsidRDefault="00743D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  <w:r w:rsidRPr="00A36A18">
        <w:rPr>
          <w:rFonts w:asciiTheme="minorHAnsi" w:hAnsiTheme="minorHAnsi" w:cstheme="minorHAnsi"/>
          <w:sz w:val="22"/>
          <w:szCs w:val="22"/>
        </w:rPr>
        <w:t>5</w:t>
      </w:r>
      <w:r w:rsidR="0094771D" w:rsidRPr="00A36A18">
        <w:rPr>
          <w:rFonts w:asciiTheme="minorHAnsi" w:hAnsiTheme="minorHAnsi" w:cstheme="minorHAnsi"/>
          <w:sz w:val="22"/>
          <w:szCs w:val="22"/>
        </w:rPr>
        <w:t xml:space="preserve"> mark</w:t>
      </w:r>
      <w:r w:rsidR="00A36A18">
        <w:rPr>
          <w:rFonts w:asciiTheme="minorHAnsi" w:hAnsiTheme="minorHAnsi" w:cstheme="minorHAnsi"/>
          <w:sz w:val="22"/>
          <w:szCs w:val="22"/>
        </w:rPr>
        <w:t>s</w:t>
      </w:r>
    </w:p>
    <w:p w14:paraId="18E041D4" w14:textId="6E4A1D82" w:rsidR="00B051EC" w:rsidRDefault="00B051E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2C5AE69C" w14:textId="77777777" w:rsidR="00B051EC" w:rsidRDefault="00B051E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44648E7A" w14:textId="77777777" w:rsidR="00BB020C" w:rsidRPr="00393C54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6F4BF228" w14:textId="77A8F52D" w:rsidR="00BE1F3E" w:rsidRPr="00393C54" w:rsidRDefault="006B4B14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What determines the level of the Lifetime Allowance Charge for a member whose </w:t>
      </w:r>
      <w:r w:rsidR="00622E31">
        <w:rPr>
          <w:rFonts w:asciiTheme="minorHAnsi" w:hAnsiTheme="minorHAnsi" w:cstheme="minorHAnsi"/>
          <w:b/>
          <w:bCs/>
        </w:rPr>
        <w:t xml:space="preserve">benefits exceed the Lifetime Allowance? Illustrate the difference </w:t>
      </w:r>
      <w:r w:rsidR="000D16E0">
        <w:rPr>
          <w:rFonts w:asciiTheme="minorHAnsi" w:hAnsiTheme="minorHAnsi" w:cstheme="minorHAnsi"/>
          <w:b/>
          <w:bCs/>
        </w:rPr>
        <w:t>using a worked example.</w:t>
      </w:r>
    </w:p>
    <w:p w14:paraId="4F95E1FD" w14:textId="77777777" w:rsidR="00BE1F3E" w:rsidRPr="00393C54" w:rsidRDefault="00BE1F3E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7F64B00A" w14:textId="2DCC1CCA" w:rsidR="00BE1F3E" w:rsidRDefault="0094771D" w:rsidP="00D64216">
      <w:pPr>
        <w:ind w:left="920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 xml:space="preserve">Answer </w:t>
      </w:r>
      <w:r w:rsidR="000D16E0">
        <w:rPr>
          <w:rFonts w:asciiTheme="minorHAnsi" w:hAnsiTheme="minorHAnsi" w:cstheme="minorHAnsi"/>
        </w:rPr>
        <w:t>should cover:</w:t>
      </w:r>
    </w:p>
    <w:p w14:paraId="0A793BA4" w14:textId="67F1B647" w:rsidR="00D64216" w:rsidRDefault="00D64216" w:rsidP="00D64216">
      <w:pPr>
        <w:ind w:left="557"/>
        <w:rPr>
          <w:rFonts w:asciiTheme="minorHAnsi" w:hAnsiTheme="minorHAnsi" w:cstheme="minorHAnsi"/>
        </w:rPr>
      </w:pPr>
    </w:p>
    <w:p w14:paraId="3EEAA85F" w14:textId="387F0264" w:rsidR="00D64216" w:rsidRDefault="005C307D" w:rsidP="00D6421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Level of LTA Charge depends on whether benefits </w:t>
      </w:r>
      <w:proofErr w:type="gramStart"/>
      <w:r w:rsidR="00600D14">
        <w:rPr>
          <w:rFonts w:asciiTheme="minorHAnsi" w:hAnsiTheme="minorHAnsi" w:cstheme="minorHAnsi"/>
        </w:rPr>
        <w:t>in excess of</w:t>
      </w:r>
      <w:proofErr w:type="gramEnd"/>
      <w:r w:rsidR="00600D14">
        <w:rPr>
          <w:rFonts w:asciiTheme="minorHAnsi" w:hAnsiTheme="minorHAnsi" w:cstheme="minorHAnsi"/>
        </w:rPr>
        <w:t xml:space="preserve"> the LTA are </w:t>
      </w:r>
      <w:r>
        <w:rPr>
          <w:rFonts w:asciiTheme="minorHAnsi" w:hAnsiTheme="minorHAnsi" w:cstheme="minorHAnsi"/>
        </w:rPr>
        <w:t xml:space="preserve">taken as a lump sum or </w:t>
      </w:r>
      <w:r w:rsidR="008727FB">
        <w:rPr>
          <w:rFonts w:asciiTheme="minorHAnsi" w:hAnsiTheme="minorHAnsi" w:cstheme="minorHAnsi"/>
        </w:rPr>
        <w:t>pension form</w:t>
      </w:r>
    </w:p>
    <w:p w14:paraId="5AA97084" w14:textId="77777777" w:rsidR="007B3A90" w:rsidRDefault="008727FB" w:rsidP="00D6421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 calculation </w:t>
      </w:r>
      <w:r w:rsidR="007B3A90">
        <w:rPr>
          <w:rFonts w:asciiTheme="minorHAnsi" w:hAnsiTheme="minorHAnsi" w:cstheme="minorHAnsi"/>
        </w:rPr>
        <w:t>showing:</w:t>
      </w:r>
    </w:p>
    <w:p w14:paraId="09CB86CC" w14:textId="1EBFE6F5" w:rsidR="008727FB" w:rsidRDefault="007B3A90" w:rsidP="007B3A90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LTA charge is calculated where </w:t>
      </w:r>
      <w:r w:rsidR="00600D14">
        <w:rPr>
          <w:rFonts w:asciiTheme="minorHAnsi" w:hAnsiTheme="minorHAnsi" w:cstheme="minorHAnsi"/>
        </w:rPr>
        <w:t>exce</w:t>
      </w:r>
      <w:r w:rsidR="009B0AD0">
        <w:rPr>
          <w:rFonts w:asciiTheme="minorHAnsi" w:hAnsiTheme="minorHAnsi" w:cstheme="minorHAnsi"/>
        </w:rPr>
        <w:t>e</w:t>
      </w:r>
      <w:r w:rsidR="00600D14">
        <w:rPr>
          <w:rFonts w:asciiTheme="minorHAnsi" w:hAnsiTheme="minorHAnsi" w:cstheme="minorHAnsi"/>
        </w:rPr>
        <w:t>d benefits taken as a lump sum</w:t>
      </w:r>
    </w:p>
    <w:p w14:paraId="1707CFF5" w14:textId="652267D2" w:rsidR="009B0AD0" w:rsidRDefault="009B0AD0" w:rsidP="007B3A90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9B0AD0">
        <w:rPr>
          <w:rFonts w:asciiTheme="minorHAnsi" w:hAnsiTheme="minorHAnsi" w:cstheme="minorHAnsi"/>
        </w:rPr>
        <w:t>how LTA charge is calculated where exceed benefits taken as pension</w:t>
      </w:r>
      <w:r w:rsidR="00B34218">
        <w:rPr>
          <w:rFonts w:asciiTheme="minorHAnsi" w:hAnsiTheme="minorHAnsi" w:cstheme="minorHAnsi"/>
        </w:rPr>
        <w:t>.</w:t>
      </w:r>
    </w:p>
    <w:p w14:paraId="73F5DAB9" w14:textId="26C67280" w:rsidR="00B34218" w:rsidRDefault="00B34218" w:rsidP="00B34218">
      <w:pPr>
        <w:rPr>
          <w:rFonts w:asciiTheme="minorHAnsi" w:hAnsiTheme="minorHAnsi" w:cstheme="minorHAnsi"/>
        </w:rPr>
      </w:pPr>
    </w:p>
    <w:p w14:paraId="258BF3A6" w14:textId="19D4B097" w:rsidR="00B34218" w:rsidRPr="00B34218" w:rsidRDefault="00760A3A" w:rsidP="00760A3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34218">
        <w:rPr>
          <w:rFonts w:asciiTheme="minorHAnsi" w:hAnsiTheme="minorHAnsi" w:cstheme="minorHAnsi"/>
        </w:rPr>
        <w:t>Relevant section of the manual is Part 4 Chapter 2 Introduction (page 93</w:t>
      </w:r>
      <w:r>
        <w:rPr>
          <w:rFonts w:asciiTheme="minorHAnsi" w:hAnsiTheme="minorHAnsi" w:cstheme="minorHAnsi"/>
        </w:rPr>
        <w:t>).</w:t>
      </w:r>
    </w:p>
    <w:p w14:paraId="1D88A351" w14:textId="7F641D7F" w:rsidR="00BE1F3E" w:rsidRPr="00393C54" w:rsidRDefault="00B42489" w:rsidP="00DD543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94771D" w:rsidRPr="00393C54">
        <w:rPr>
          <w:rFonts w:asciiTheme="minorHAnsi" w:hAnsiTheme="minorHAnsi" w:cstheme="minorHAnsi"/>
          <w:b/>
          <w:bCs/>
        </w:rPr>
        <w:t xml:space="preserve"> Marks</w:t>
      </w:r>
    </w:p>
    <w:p w14:paraId="1DEE1818" w14:textId="364DB52E" w:rsidR="00BE1F3E" w:rsidRDefault="00BE1F3E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5E2C7CA0" w14:textId="6BB5FAF0" w:rsidR="00B051EC" w:rsidRDefault="00B051EC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3F68A9D8" w14:textId="77777777" w:rsidR="00B051EC" w:rsidRDefault="00B051EC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521F1700" w14:textId="4F92ED71" w:rsidR="00BE1F3E" w:rsidRPr="00393C54" w:rsidRDefault="00814F51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93C54">
        <w:rPr>
          <w:rFonts w:asciiTheme="minorHAnsi" w:hAnsiTheme="minorHAnsi" w:cstheme="minorHAnsi"/>
          <w:b/>
          <w:bCs/>
        </w:rPr>
        <w:t>Explain what a</w:t>
      </w:r>
      <w:r w:rsidR="00A85479" w:rsidRPr="00393C54">
        <w:rPr>
          <w:rFonts w:asciiTheme="minorHAnsi" w:hAnsiTheme="minorHAnsi" w:cstheme="minorHAnsi"/>
          <w:b/>
          <w:bCs/>
        </w:rPr>
        <w:t xml:space="preserve"> Benefit </w:t>
      </w:r>
      <w:proofErr w:type="spellStart"/>
      <w:r w:rsidR="00A85479" w:rsidRPr="00393C54">
        <w:rPr>
          <w:rFonts w:asciiTheme="minorHAnsi" w:hAnsiTheme="minorHAnsi" w:cstheme="minorHAnsi"/>
          <w:b/>
          <w:bCs/>
        </w:rPr>
        <w:t>Crystallisation</w:t>
      </w:r>
      <w:proofErr w:type="spellEnd"/>
      <w:r w:rsidR="00A85479" w:rsidRPr="00393C54">
        <w:rPr>
          <w:rFonts w:asciiTheme="minorHAnsi" w:hAnsiTheme="minorHAnsi" w:cstheme="minorHAnsi"/>
          <w:b/>
          <w:bCs/>
        </w:rPr>
        <w:t xml:space="preserve"> </w:t>
      </w:r>
      <w:r w:rsidRPr="00393C54">
        <w:rPr>
          <w:rFonts w:asciiTheme="minorHAnsi" w:hAnsiTheme="minorHAnsi" w:cstheme="minorHAnsi"/>
          <w:b/>
          <w:bCs/>
        </w:rPr>
        <w:t>E</w:t>
      </w:r>
      <w:r w:rsidR="00A85479" w:rsidRPr="00393C54">
        <w:rPr>
          <w:rFonts w:asciiTheme="minorHAnsi" w:hAnsiTheme="minorHAnsi" w:cstheme="minorHAnsi"/>
          <w:b/>
          <w:bCs/>
        </w:rPr>
        <w:t xml:space="preserve">vent </w:t>
      </w:r>
      <w:r w:rsidRPr="00393C54">
        <w:rPr>
          <w:rFonts w:asciiTheme="minorHAnsi" w:hAnsiTheme="minorHAnsi" w:cstheme="minorHAnsi"/>
          <w:b/>
          <w:bCs/>
        </w:rPr>
        <w:t xml:space="preserve">is and </w:t>
      </w:r>
      <w:r w:rsidR="009739F3" w:rsidRPr="00393C54">
        <w:rPr>
          <w:rFonts w:asciiTheme="minorHAnsi" w:hAnsiTheme="minorHAnsi" w:cstheme="minorHAnsi"/>
          <w:b/>
          <w:bCs/>
        </w:rPr>
        <w:t>how a member’s benefits are tested.</w:t>
      </w:r>
    </w:p>
    <w:p w14:paraId="0DC24361" w14:textId="77777777" w:rsidR="00BE1F3E" w:rsidRPr="00393C54" w:rsidRDefault="00BE1F3E" w:rsidP="00DD543A">
      <w:pPr>
        <w:rPr>
          <w:rFonts w:asciiTheme="minorHAnsi" w:hAnsiTheme="minorHAnsi" w:cstheme="minorHAnsi"/>
        </w:rPr>
      </w:pPr>
    </w:p>
    <w:p w14:paraId="709F94AF" w14:textId="77777777" w:rsidR="00BE1F3E" w:rsidRPr="00393C54" w:rsidRDefault="0094771D" w:rsidP="005C307D">
      <w:pPr>
        <w:ind w:left="917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Answer should cover:</w:t>
      </w:r>
    </w:p>
    <w:p w14:paraId="35180379" w14:textId="77777777" w:rsidR="00BE1F3E" w:rsidRPr="00393C54" w:rsidRDefault="00BE1F3E" w:rsidP="00DD543A">
      <w:pPr>
        <w:ind w:left="557"/>
        <w:rPr>
          <w:rFonts w:asciiTheme="minorHAnsi" w:hAnsiTheme="minorHAnsi" w:cstheme="minorHAnsi"/>
        </w:rPr>
      </w:pPr>
    </w:p>
    <w:p w14:paraId="37BF973C" w14:textId="77777777" w:rsidR="000D7440" w:rsidRPr="00393C54" w:rsidRDefault="000D7440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 xml:space="preserve">A BCE is an event in a registered scheme which triggers a test of the member’s benefits against the </w:t>
      </w:r>
    </w:p>
    <w:p w14:paraId="1EE76FBB" w14:textId="45E49DFC" w:rsidR="00BE1F3E" w:rsidRDefault="000D7440" w:rsidP="00E402AF">
      <w:pPr>
        <w:ind w:left="1277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Lifetime Allowance</w:t>
      </w:r>
    </w:p>
    <w:p w14:paraId="6E8DB85E" w14:textId="5077E8E1" w:rsidR="00D01884" w:rsidRPr="00D01884" w:rsidRDefault="004A0A94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13 BCEs</w:t>
      </w:r>
    </w:p>
    <w:p w14:paraId="265C4410" w14:textId="77777777" w:rsidR="005B7921" w:rsidRDefault="000D7440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 w:rsidRPr="00C020A7">
        <w:rPr>
          <w:rFonts w:asciiTheme="minorHAnsi" w:hAnsiTheme="minorHAnsi" w:cstheme="minorHAnsi"/>
        </w:rPr>
        <w:t xml:space="preserve">Each time </w:t>
      </w:r>
      <w:r w:rsidR="004D500C">
        <w:rPr>
          <w:rFonts w:asciiTheme="minorHAnsi" w:hAnsiTheme="minorHAnsi" w:cstheme="minorHAnsi"/>
        </w:rPr>
        <w:t xml:space="preserve">benefits are </w:t>
      </w:r>
      <w:proofErr w:type="gramStart"/>
      <w:r w:rsidR="004D500C">
        <w:rPr>
          <w:rFonts w:asciiTheme="minorHAnsi" w:hAnsiTheme="minorHAnsi" w:cstheme="minorHAnsi"/>
        </w:rPr>
        <w:t>tested</w:t>
      </w:r>
      <w:r w:rsidRPr="00C020A7">
        <w:rPr>
          <w:rFonts w:asciiTheme="minorHAnsi" w:hAnsiTheme="minorHAnsi" w:cstheme="minorHAnsi"/>
        </w:rPr>
        <w:t>,</w:t>
      </w:r>
      <w:proofErr w:type="gramEnd"/>
      <w:r w:rsidRPr="00C020A7">
        <w:rPr>
          <w:rFonts w:asciiTheme="minorHAnsi" w:hAnsiTheme="minorHAnsi" w:cstheme="minorHAnsi"/>
        </w:rPr>
        <w:t xml:space="preserve"> part of the </w:t>
      </w:r>
      <w:r w:rsidR="004D500C">
        <w:rPr>
          <w:rFonts w:asciiTheme="minorHAnsi" w:hAnsiTheme="minorHAnsi" w:cstheme="minorHAnsi"/>
        </w:rPr>
        <w:t>member</w:t>
      </w:r>
      <w:r w:rsidRPr="00C020A7">
        <w:rPr>
          <w:rFonts w:asciiTheme="minorHAnsi" w:hAnsiTheme="minorHAnsi" w:cstheme="minorHAnsi"/>
        </w:rPr>
        <w:t xml:space="preserve">’s Lifetime Allowance is deemed to have been used up </w:t>
      </w:r>
    </w:p>
    <w:p w14:paraId="1613C74E" w14:textId="56B98626" w:rsidR="000D7440" w:rsidRPr="00C020A7" w:rsidRDefault="000D7440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 w:rsidRPr="00C020A7">
        <w:rPr>
          <w:rFonts w:asciiTheme="minorHAnsi" w:hAnsiTheme="minorHAnsi" w:cstheme="minorHAnsi"/>
        </w:rPr>
        <w:t>If there is insufficient Lifetime Allowance remaining at the time of the test, then a Lifetime Allowance charge will become payable.</w:t>
      </w:r>
    </w:p>
    <w:p w14:paraId="55CAB4FF" w14:textId="77777777" w:rsidR="005B7921" w:rsidRDefault="00393C54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 w:rsidRPr="005B7921">
        <w:rPr>
          <w:rFonts w:asciiTheme="minorHAnsi" w:hAnsiTheme="minorHAnsi" w:cstheme="minorHAnsi"/>
        </w:rPr>
        <w:t>The percentage of the standard Lifetime Allowance used up at a particular BCE remains constant year by year even though the standard Lifetime Allowance is changed in subsequent tax years</w:t>
      </w:r>
    </w:p>
    <w:p w14:paraId="79CB6627" w14:textId="77777777" w:rsidR="0004795F" w:rsidRDefault="00393C54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 w:rsidRPr="005B7921">
        <w:rPr>
          <w:rFonts w:asciiTheme="minorHAnsi" w:hAnsiTheme="minorHAnsi" w:cstheme="minorHAnsi"/>
        </w:rPr>
        <w:t xml:space="preserve">This is to ensure that individuals will face the same real aggregate Lifetime Allowance on their total pension rights built up with tax relief, irrespective of: </w:t>
      </w:r>
    </w:p>
    <w:p w14:paraId="379BA4EB" w14:textId="3E5DD3F1" w:rsidR="0004795F" w:rsidRDefault="00393C54" w:rsidP="00E402AF">
      <w:pPr>
        <w:pStyle w:val="ListParagraph"/>
        <w:numPr>
          <w:ilvl w:val="1"/>
          <w:numId w:val="8"/>
        </w:numPr>
        <w:ind w:left="1997"/>
        <w:rPr>
          <w:rFonts w:asciiTheme="minorHAnsi" w:hAnsiTheme="minorHAnsi" w:cstheme="minorHAnsi"/>
        </w:rPr>
      </w:pPr>
      <w:r w:rsidRPr="005B7921">
        <w:rPr>
          <w:rFonts w:asciiTheme="minorHAnsi" w:hAnsiTheme="minorHAnsi" w:cstheme="minorHAnsi"/>
        </w:rPr>
        <w:t xml:space="preserve">When they choose to take their benefits and the type of benefits they become entitled to </w:t>
      </w:r>
    </w:p>
    <w:p w14:paraId="2AE2CEA9" w14:textId="3BF076C1" w:rsidR="000D7440" w:rsidRDefault="00393C54" w:rsidP="00E402AF">
      <w:pPr>
        <w:pStyle w:val="ListParagraph"/>
        <w:numPr>
          <w:ilvl w:val="1"/>
          <w:numId w:val="8"/>
        </w:numPr>
        <w:ind w:left="1997"/>
        <w:rPr>
          <w:rFonts w:asciiTheme="minorHAnsi" w:hAnsiTheme="minorHAnsi" w:cstheme="minorHAnsi"/>
        </w:rPr>
      </w:pPr>
      <w:r w:rsidRPr="005B7921">
        <w:rPr>
          <w:rFonts w:asciiTheme="minorHAnsi" w:hAnsiTheme="minorHAnsi" w:cstheme="minorHAnsi"/>
        </w:rPr>
        <w:t>Whether benefits are taken from one scheme or from multiple schemes.</w:t>
      </w:r>
    </w:p>
    <w:p w14:paraId="13089977" w14:textId="64652914" w:rsidR="007C7DE0" w:rsidRDefault="007C7DE0" w:rsidP="00E402AF">
      <w:pPr>
        <w:pStyle w:val="ListParagraph"/>
        <w:numPr>
          <w:ilvl w:val="0"/>
          <w:numId w:val="8"/>
        </w:numPr>
        <w:ind w:left="1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worked example of </w:t>
      </w:r>
      <w:r w:rsidR="00BF4F57">
        <w:rPr>
          <w:rFonts w:asciiTheme="minorHAnsi" w:hAnsiTheme="minorHAnsi" w:cstheme="minorHAnsi"/>
        </w:rPr>
        <w:t xml:space="preserve">a </w:t>
      </w:r>
      <w:r w:rsidR="00D1313D">
        <w:rPr>
          <w:rFonts w:asciiTheme="minorHAnsi" w:hAnsiTheme="minorHAnsi" w:cstheme="minorHAnsi"/>
        </w:rPr>
        <w:t>test of a member’s benefits against the LTA.</w:t>
      </w:r>
    </w:p>
    <w:p w14:paraId="7FBC0D7F" w14:textId="211518AA" w:rsidR="0004795F" w:rsidRDefault="0004795F" w:rsidP="0004795F">
      <w:pPr>
        <w:rPr>
          <w:rFonts w:asciiTheme="minorHAnsi" w:hAnsiTheme="minorHAnsi" w:cstheme="minorHAnsi"/>
        </w:rPr>
      </w:pPr>
    </w:p>
    <w:p w14:paraId="6FDAAA82" w14:textId="5AB010B3" w:rsidR="000D7440" w:rsidRPr="00393C54" w:rsidRDefault="00D45D3B" w:rsidP="000D74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60A3A">
        <w:rPr>
          <w:rFonts w:asciiTheme="minorHAnsi" w:hAnsiTheme="minorHAnsi" w:cstheme="minorHAnsi"/>
        </w:rPr>
        <w:t xml:space="preserve">  </w:t>
      </w:r>
      <w:r w:rsidR="00E402AF">
        <w:rPr>
          <w:rFonts w:asciiTheme="minorHAnsi" w:hAnsiTheme="minorHAnsi" w:cstheme="minorHAnsi"/>
        </w:rPr>
        <w:t xml:space="preserve">  </w:t>
      </w:r>
      <w:r w:rsidR="00760A3A">
        <w:rPr>
          <w:rFonts w:asciiTheme="minorHAnsi" w:hAnsiTheme="minorHAnsi" w:cstheme="minorHAnsi"/>
        </w:rPr>
        <w:t xml:space="preserve"> </w:t>
      </w:r>
      <w:bookmarkStart w:id="0" w:name="_Hlk87885018"/>
      <w:r w:rsidR="0004795F">
        <w:rPr>
          <w:rFonts w:asciiTheme="minorHAnsi" w:hAnsiTheme="minorHAnsi" w:cstheme="minorHAnsi"/>
        </w:rPr>
        <w:t>Relevant section of the manual i</w:t>
      </w:r>
      <w:r>
        <w:rPr>
          <w:rFonts w:asciiTheme="minorHAnsi" w:hAnsiTheme="minorHAnsi" w:cstheme="minorHAnsi"/>
        </w:rPr>
        <w:t>s</w:t>
      </w:r>
      <w:r w:rsidR="0004795F">
        <w:rPr>
          <w:rFonts w:asciiTheme="minorHAnsi" w:hAnsiTheme="minorHAnsi" w:cstheme="minorHAnsi"/>
        </w:rPr>
        <w:t xml:space="preserve"> Part 4 Chapter 2.1</w:t>
      </w:r>
      <w:bookmarkEnd w:id="0"/>
      <w:r w:rsidR="0004795F">
        <w:rPr>
          <w:rFonts w:asciiTheme="minorHAnsi" w:hAnsiTheme="minorHAnsi" w:cstheme="minorHAnsi"/>
        </w:rPr>
        <w:t>.</w:t>
      </w:r>
    </w:p>
    <w:p w14:paraId="7AE0B1F2" w14:textId="3D2E8583" w:rsidR="00BE1F3E" w:rsidRPr="00393C54" w:rsidRDefault="004A0A94" w:rsidP="00DD543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94771D" w:rsidRPr="00393C54">
        <w:rPr>
          <w:rFonts w:asciiTheme="minorHAnsi" w:hAnsiTheme="minorHAnsi" w:cstheme="minorHAnsi"/>
          <w:b/>
          <w:bCs/>
        </w:rPr>
        <w:t xml:space="preserve"> marks</w:t>
      </w:r>
    </w:p>
    <w:p w14:paraId="15EC6195" w14:textId="2D48A999" w:rsidR="00DD543A" w:rsidRDefault="00DD543A" w:rsidP="00DD543A">
      <w:pPr>
        <w:rPr>
          <w:rFonts w:asciiTheme="minorHAnsi" w:hAnsiTheme="minorHAnsi" w:cstheme="minorHAnsi"/>
        </w:rPr>
      </w:pPr>
    </w:p>
    <w:p w14:paraId="6C7E6765" w14:textId="77777777" w:rsidR="00B051EC" w:rsidRPr="00393C54" w:rsidRDefault="00B051EC" w:rsidP="00DD543A">
      <w:pPr>
        <w:rPr>
          <w:rFonts w:asciiTheme="minorHAnsi" w:hAnsiTheme="minorHAnsi" w:cstheme="minorHAnsi"/>
        </w:rPr>
      </w:pPr>
    </w:p>
    <w:p w14:paraId="35BFD952" w14:textId="2B8D3FBF" w:rsidR="00BE1F3E" w:rsidRPr="00393C54" w:rsidRDefault="00F05ED7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than Primary Protection and Enhanced Protection, l</w:t>
      </w:r>
      <w:r w:rsidR="00175FD8">
        <w:rPr>
          <w:rFonts w:asciiTheme="minorHAnsi" w:hAnsiTheme="minorHAnsi" w:cstheme="minorHAnsi"/>
          <w:b/>
          <w:bCs/>
        </w:rPr>
        <w:t>ist 5 other Protections available to scheme members</w:t>
      </w:r>
      <w:r w:rsidR="008002FF">
        <w:rPr>
          <w:rFonts w:asciiTheme="minorHAnsi" w:hAnsiTheme="minorHAnsi" w:cstheme="minorHAnsi"/>
          <w:b/>
          <w:bCs/>
        </w:rPr>
        <w:t xml:space="preserve"> and o</w:t>
      </w:r>
      <w:r w:rsidR="00701404">
        <w:rPr>
          <w:rFonts w:asciiTheme="minorHAnsi" w:hAnsiTheme="minorHAnsi" w:cstheme="minorHAnsi"/>
          <w:b/>
          <w:bCs/>
        </w:rPr>
        <w:t xml:space="preserve">utline what other </w:t>
      </w:r>
      <w:r w:rsidR="000B7203">
        <w:rPr>
          <w:rFonts w:asciiTheme="minorHAnsi" w:hAnsiTheme="minorHAnsi" w:cstheme="minorHAnsi"/>
          <w:b/>
          <w:bCs/>
        </w:rPr>
        <w:t>Lifetime Allowance enhancement factors are</w:t>
      </w:r>
      <w:r w:rsidR="007B6DF8">
        <w:rPr>
          <w:rFonts w:asciiTheme="minorHAnsi" w:hAnsiTheme="minorHAnsi" w:cstheme="minorHAnsi"/>
          <w:b/>
          <w:bCs/>
        </w:rPr>
        <w:t xml:space="preserve"> </w:t>
      </w:r>
      <w:r w:rsidR="00687F58">
        <w:rPr>
          <w:rFonts w:asciiTheme="minorHAnsi" w:hAnsiTheme="minorHAnsi" w:cstheme="minorHAnsi"/>
          <w:b/>
          <w:bCs/>
        </w:rPr>
        <w:t>available and why were they introduced?</w:t>
      </w:r>
    </w:p>
    <w:p w14:paraId="1C00FEB3" w14:textId="77777777" w:rsidR="00BE1F3E" w:rsidRPr="00393C54" w:rsidRDefault="00BE1F3E" w:rsidP="00DD543A">
      <w:pPr>
        <w:rPr>
          <w:rFonts w:asciiTheme="minorHAnsi" w:hAnsiTheme="minorHAnsi" w:cstheme="minorHAnsi"/>
        </w:rPr>
      </w:pPr>
    </w:p>
    <w:p w14:paraId="6D37DFAF" w14:textId="77777777" w:rsidR="00BE1F3E" w:rsidRPr="00393C54" w:rsidRDefault="0094771D" w:rsidP="00530097">
      <w:pPr>
        <w:ind w:left="920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Answer should cover:</w:t>
      </w:r>
    </w:p>
    <w:p w14:paraId="138D216E" w14:textId="77777777" w:rsidR="00BE1F3E" w:rsidRPr="00393C54" w:rsidRDefault="00BE1F3E" w:rsidP="00DD543A">
      <w:pPr>
        <w:ind w:left="557"/>
        <w:rPr>
          <w:rFonts w:asciiTheme="minorHAnsi" w:hAnsiTheme="minorHAnsi" w:cstheme="minorHAnsi"/>
        </w:rPr>
      </w:pPr>
    </w:p>
    <w:p w14:paraId="786AF693" w14:textId="77777777" w:rsidR="00EB6109" w:rsidRDefault="00EB6109" w:rsidP="005300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Fixed Protection</w:t>
      </w:r>
    </w:p>
    <w:p w14:paraId="787D5247" w14:textId="77777777" w:rsidR="00EB6109" w:rsidRDefault="00EB6109" w:rsidP="005300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Fixed Protection 2014</w:t>
      </w:r>
    </w:p>
    <w:p w14:paraId="1454B686" w14:textId="77777777" w:rsidR="00EB6109" w:rsidRDefault="00EB6109" w:rsidP="005300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Protection 2014</w:t>
      </w:r>
    </w:p>
    <w:p w14:paraId="2F7BB4A8" w14:textId="77777777" w:rsidR="00D0359E" w:rsidRDefault="00D0359E" w:rsidP="005300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Fixed Protection 2016</w:t>
      </w:r>
    </w:p>
    <w:p w14:paraId="22B06625" w14:textId="77777777" w:rsidR="00D0359E" w:rsidRDefault="00D0359E" w:rsidP="005300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Protection 2016</w:t>
      </w:r>
    </w:p>
    <w:p w14:paraId="39EFE16A" w14:textId="4FE51701" w:rsidR="00EB6109" w:rsidRDefault="00304DB3" w:rsidP="0053009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Other enha</w:t>
      </w:r>
      <w:r w:rsidR="00530097" w:rsidRPr="00530097">
        <w:rPr>
          <w:rFonts w:asciiTheme="minorHAnsi" w:hAnsiTheme="minorHAnsi" w:cstheme="minorHAnsi"/>
        </w:rPr>
        <w:t>ncement factors</w:t>
      </w:r>
      <w:r w:rsidR="00EB6109">
        <w:rPr>
          <w:rFonts w:asciiTheme="minorHAnsi" w:hAnsiTheme="minorHAnsi" w:cstheme="minorHAnsi"/>
        </w:rPr>
        <w:t>:</w:t>
      </w:r>
    </w:p>
    <w:p w14:paraId="7D7BE73A" w14:textId="42A7815D" w:rsidR="00530097" w:rsidRPr="00530097" w:rsidRDefault="00530097" w:rsidP="00EB610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530097">
        <w:rPr>
          <w:rFonts w:asciiTheme="minorHAnsi" w:hAnsiTheme="minorHAnsi" w:cstheme="minorHAnsi"/>
        </w:rPr>
        <w:t xml:space="preserve"> may be applicable for </w:t>
      </w:r>
      <w:r w:rsidR="00AD6DB9">
        <w:rPr>
          <w:rFonts w:asciiTheme="minorHAnsi" w:hAnsiTheme="minorHAnsi" w:cstheme="minorHAnsi"/>
        </w:rPr>
        <w:t>members who:</w:t>
      </w:r>
    </w:p>
    <w:p w14:paraId="61AF1113" w14:textId="158457FE" w:rsidR="00AD6DB9" w:rsidRDefault="00530097" w:rsidP="00EB6109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AD6DB9">
        <w:rPr>
          <w:rFonts w:asciiTheme="minorHAnsi" w:hAnsiTheme="minorHAnsi" w:cstheme="minorHAnsi"/>
        </w:rPr>
        <w:t>have overseas service or benefits</w:t>
      </w:r>
    </w:p>
    <w:p w14:paraId="40B5C967" w14:textId="77777777" w:rsidR="00AD6DB9" w:rsidRDefault="00530097" w:rsidP="00EB6109">
      <w:pPr>
        <w:pStyle w:val="ListParagraph"/>
        <w:numPr>
          <w:ilvl w:val="2"/>
          <w:numId w:val="10"/>
        </w:numPr>
        <w:rPr>
          <w:rFonts w:asciiTheme="minorHAnsi" w:hAnsiTheme="minorHAnsi" w:cstheme="minorHAnsi"/>
        </w:rPr>
      </w:pPr>
      <w:r w:rsidRPr="00AD6DB9">
        <w:rPr>
          <w:rFonts w:asciiTheme="minorHAnsi" w:hAnsiTheme="minorHAnsi" w:cstheme="minorHAnsi"/>
        </w:rPr>
        <w:t xml:space="preserve">who are entitled to a pension credit following pension sharing on </w:t>
      </w:r>
      <w:proofErr w:type="gramStart"/>
      <w:r w:rsidRPr="00AD6DB9">
        <w:rPr>
          <w:rFonts w:asciiTheme="minorHAnsi" w:hAnsiTheme="minorHAnsi" w:cstheme="minorHAnsi"/>
        </w:rPr>
        <w:t>divorce.</w:t>
      </w:r>
      <w:proofErr w:type="gramEnd"/>
    </w:p>
    <w:p w14:paraId="2CC37F3D" w14:textId="77777777" w:rsidR="00073A5F" w:rsidRDefault="005E4526" w:rsidP="00304DB3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Aimed at</w:t>
      </w:r>
      <w:r w:rsidR="00530097" w:rsidRPr="00AD6DB9">
        <w:rPr>
          <w:rFonts w:asciiTheme="minorHAnsi" w:hAnsiTheme="minorHAnsi" w:cstheme="minorHAnsi"/>
        </w:rPr>
        <w:t xml:space="preserve"> prevent</w:t>
      </w:r>
      <w:r>
        <w:rPr>
          <w:rFonts w:asciiTheme="minorHAnsi" w:hAnsiTheme="minorHAnsi" w:cstheme="minorHAnsi"/>
        </w:rPr>
        <w:t>ing</w:t>
      </w:r>
      <w:r w:rsidR="00530097" w:rsidRPr="00AD6DB9">
        <w:rPr>
          <w:rFonts w:asciiTheme="minorHAnsi" w:hAnsiTheme="minorHAnsi" w:cstheme="minorHAnsi"/>
        </w:rPr>
        <w:t xml:space="preserve"> members in </w:t>
      </w:r>
      <w:r>
        <w:rPr>
          <w:rFonts w:asciiTheme="minorHAnsi" w:hAnsiTheme="minorHAnsi" w:cstheme="minorHAnsi"/>
        </w:rPr>
        <w:t>these circumstances</w:t>
      </w:r>
      <w:r w:rsidR="00530097" w:rsidRPr="00AD6DB9">
        <w:rPr>
          <w:rFonts w:asciiTheme="minorHAnsi" w:hAnsiTheme="minorHAnsi" w:cstheme="minorHAnsi"/>
        </w:rPr>
        <w:t xml:space="preserve"> being taxed unfairl</w:t>
      </w:r>
      <w:r w:rsidR="00073A5F">
        <w:rPr>
          <w:rFonts w:asciiTheme="minorHAnsi" w:hAnsiTheme="minorHAnsi" w:cstheme="minorHAnsi"/>
        </w:rPr>
        <w:t>y</w:t>
      </w:r>
    </w:p>
    <w:p w14:paraId="665D80C5" w14:textId="46144A3C" w:rsidR="00530097" w:rsidRPr="00304DB3" w:rsidRDefault="00073A5F" w:rsidP="00304DB3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 - </w:t>
      </w:r>
      <w:r w:rsidR="00530097" w:rsidRPr="00073A5F">
        <w:rPr>
          <w:rFonts w:asciiTheme="minorHAnsi" w:hAnsiTheme="minorHAnsi" w:cstheme="minorHAnsi"/>
        </w:rPr>
        <w:t xml:space="preserve">a member of a registered pension scheme who has benefits from overseas service may not </w:t>
      </w:r>
      <w:r w:rsidR="00530097" w:rsidRPr="00304DB3">
        <w:rPr>
          <w:rFonts w:asciiTheme="minorHAnsi" w:hAnsiTheme="minorHAnsi" w:cstheme="minorHAnsi"/>
        </w:rPr>
        <w:t xml:space="preserve">have received UK tax relief on their contributions, and so it would be unfair to test </w:t>
      </w:r>
      <w:r w:rsidRPr="00304DB3">
        <w:rPr>
          <w:rFonts w:asciiTheme="minorHAnsi" w:hAnsiTheme="minorHAnsi" w:cstheme="minorHAnsi"/>
        </w:rPr>
        <w:t>their</w:t>
      </w:r>
      <w:r w:rsidR="00530097" w:rsidRPr="00304DB3">
        <w:rPr>
          <w:rFonts w:asciiTheme="minorHAnsi" w:hAnsiTheme="minorHAnsi" w:cstheme="minorHAnsi"/>
        </w:rPr>
        <w:t xml:space="preserve"> benefits against the standard LTA</w:t>
      </w:r>
    </w:p>
    <w:p w14:paraId="41BCE492" w14:textId="77777777" w:rsidR="007E0B06" w:rsidRDefault="00A327F3" w:rsidP="00D0359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A327F3">
        <w:rPr>
          <w:rFonts w:asciiTheme="minorHAnsi" w:hAnsiTheme="minorHAnsi" w:cstheme="minorHAnsi"/>
        </w:rPr>
        <w:t>Deadlines for a</w:t>
      </w:r>
      <w:r w:rsidR="00530097" w:rsidRPr="00A327F3">
        <w:rPr>
          <w:rFonts w:asciiTheme="minorHAnsi" w:hAnsiTheme="minorHAnsi" w:cstheme="minorHAnsi"/>
        </w:rPr>
        <w:t xml:space="preserve">pplications to HMRC for these enhancements </w:t>
      </w:r>
      <w:r w:rsidRPr="00A327F3">
        <w:rPr>
          <w:rFonts w:asciiTheme="minorHAnsi" w:hAnsiTheme="minorHAnsi" w:cstheme="minorHAnsi"/>
        </w:rPr>
        <w:t xml:space="preserve">differ depending on the type of enhancement </w:t>
      </w:r>
      <w:r>
        <w:rPr>
          <w:rFonts w:asciiTheme="minorHAnsi" w:hAnsiTheme="minorHAnsi" w:cstheme="minorHAnsi"/>
        </w:rPr>
        <w:t xml:space="preserve">applied </w:t>
      </w:r>
    </w:p>
    <w:p w14:paraId="7EB5954F" w14:textId="16AA8D6E" w:rsidR="003A0E98" w:rsidRDefault="007E0B06" w:rsidP="00D0359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not subject to th</w:t>
      </w:r>
      <w:r w:rsidR="0041756D">
        <w:rPr>
          <w:rFonts w:asciiTheme="minorHAnsi" w:hAnsiTheme="minorHAnsi" w:cstheme="minorHAnsi"/>
        </w:rPr>
        <w:t xml:space="preserve">e deadlines </w:t>
      </w:r>
      <w:r>
        <w:rPr>
          <w:rFonts w:asciiTheme="minorHAnsi" w:hAnsiTheme="minorHAnsi" w:cstheme="minorHAnsi"/>
        </w:rPr>
        <w:t>applicable to enhanced/primary/fixed</w:t>
      </w:r>
      <w:r w:rsidR="00B051EC">
        <w:rPr>
          <w:rFonts w:asciiTheme="minorHAnsi" w:hAnsiTheme="minorHAnsi" w:cstheme="minorHAnsi"/>
        </w:rPr>
        <w:t>/individual</w:t>
      </w:r>
      <w:r w:rsidR="003A0E98">
        <w:rPr>
          <w:rFonts w:asciiTheme="minorHAnsi" w:hAnsiTheme="minorHAnsi" w:cstheme="minorHAnsi"/>
        </w:rPr>
        <w:t xml:space="preserve"> protections</w:t>
      </w:r>
      <w:r>
        <w:rPr>
          <w:rFonts w:asciiTheme="minorHAnsi" w:hAnsiTheme="minorHAnsi" w:cstheme="minorHAnsi"/>
        </w:rPr>
        <w:t xml:space="preserve"> </w:t>
      </w:r>
    </w:p>
    <w:p w14:paraId="3460CFE2" w14:textId="77777777" w:rsidR="003A0E98" w:rsidRDefault="003A0E98" w:rsidP="003A0E98">
      <w:pPr>
        <w:ind w:left="920"/>
        <w:rPr>
          <w:rFonts w:asciiTheme="minorHAnsi" w:hAnsiTheme="minorHAnsi" w:cstheme="minorHAnsi"/>
        </w:rPr>
      </w:pPr>
    </w:p>
    <w:p w14:paraId="4C2CCF5B" w14:textId="588A6FE6" w:rsidR="007D2803" w:rsidRPr="003A0E98" w:rsidRDefault="007D2803" w:rsidP="003A0E98">
      <w:pPr>
        <w:ind w:left="920"/>
        <w:rPr>
          <w:rFonts w:asciiTheme="minorHAnsi" w:hAnsiTheme="minorHAnsi" w:cstheme="minorHAnsi"/>
        </w:rPr>
      </w:pPr>
      <w:r w:rsidRPr="003A0E98">
        <w:rPr>
          <w:rFonts w:asciiTheme="minorHAnsi" w:hAnsiTheme="minorHAnsi" w:cstheme="minorHAnsi"/>
        </w:rPr>
        <w:t xml:space="preserve">Relevant section of the manual is Part 4 Chapter </w:t>
      </w:r>
      <w:r w:rsidR="00640AD5" w:rsidRPr="003A0E98">
        <w:rPr>
          <w:rFonts w:asciiTheme="minorHAnsi" w:hAnsiTheme="minorHAnsi" w:cstheme="minorHAnsi"/>
        </w:rPr>
        <w:t>3</w:t>
      </w:r>
      <w:r w:rsidRPr="003A0E98">
        <w:rPr>
          <w:rFonts w:asciiTheme="minorHAnsi" w:hAnsiTheme="minorHAnsi" w:cstheme="minorHAnsi"/>
        </w:rPr>
        <w:t>.</w:t>
      </w:r>
      <w:r w:rsidR="008002FF">
        <w:rPr>
          <w:rFonts w:asciiTheme="minorHAnsi" w:hAnsiTheme="minorHAnsi" w:cstheme="minorHAnsi"/>
        </w:rPr>
        <w:t>2 to 3.</w:t>
      </w:r>
      <w:r w:rsidR="007B6DF8" w:rsidRPr="003A0E98">
        <w:rPr>
          <w:rFonts w:asciiTheme="minorHAnsi" w:hAnsiTheme="minorHAnsi" w:cstheme="minorHAnsi"/>
        </w:rPr>
        <w:t>7</w:t>
      </w:r>
      <w:r w:rsidR="00640AD5" w:rsidRPr="003A0E98">
        <w:rPr>
          <w:rFonts w:asciiTheme="minorHAnsi" w:hAnsiTheme="minorHAnsi" w:cstheme="minorHAnsi"/>
        </w:rPr>
        <w:t>.</w:t>
      </w:r>
    </w:p>
    <w:p w14:paraId="3F257F78" w14:textId="660CF4AC" w:rsidR="00BE1F3E" w:rsidRPr="00393C54" w:rsidRDefault="008002FF" w:rsidP="00DD543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94771D" w:rsidRPr="00393C54">
        <w:rPr>
          <w:rFonts w:asciiTheme="minorHAnsi" w:hAnsiTheme="minorHAnsi" w:cstheme="minorHAnsi"/>
          <w:b/>
          <w:bCs/>
        </w:rPr>
        <w:t xml:space="preserve"> marks</w:t>
      </w:r>
    </w:p>
    <w:p w14:paraId="3BF33E74" w14:textId="48517DB6" w:rsidR="00BE1F3E" w:rsidRDefault="00BE1F3E" w:rsidP="00DD543A">
      <w:pPr>
        <w:rPr>
          <w:rFonts w:asciiTheme="minorHAnsi" w:hAnsiTheme="minorHAnsi" w:cstheme="minorHAnsi"/>
          <w:b/>
          <w:bCs/>
        </w:rPr>
      </w:pPr>
    </w:p>
    <w:p w14:paraId="795077DF" w14:textId="77777777" w:rsidR="00B051EC" w:rsidRPr="00393C54" w:rsidRDefault="00B051EC" w:rsidP="00DD543A">
      <w:pPr>
        <w:rPr>
          <w:rFonts w:asciiTheme="minorHAnsi" w:hAnsiTheme="minorHAnsi" w:cstheme="minorHAnsi"/>
          <w:b/>
          <w:bCs/>
        </w:rPr>
      </w:pPr>
    </w:p>
    <w:p w14:paraId="57059625" w14:textId="77777777" w:rsidR="00CC425A" w:rsidRPr="00393C54" w:rsidRDefault="00CC425A" w:rsidP="00DD543A">
      <w:pPr>
        <w:rPr>
          <w:rFonts w:asciiTheme="minorHAnsi" w:hAnsiTheme="minorHAnsi" w:cstheme="minorHAnsi"/>
          <w:b/>
          <w:bCs/>
        </w:rPr>
      </w:pPr>
    </w:p>
    <w:p w14:paraId="0A064FD3" w14:textId="2DA0DA6C" w:rsidR="00BE1F3E" w:rsidRPr="003C5DE7" w:rsidRDefault="003C5DE7" w:rsidP="00CC42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Write short notes on </w:t>
      </w:r>
      <w:r w:rsidR="00552534">
        <w:rPr>
          <w:rFonts w:asciiTheme="minorHAnsi" w:hAnsiTheme="minorHAnsi" w:cstheme="minorHAnsi"/>
          <w:b/>
          <w:bCs/>
        </w:rPr>
        <w:t>how the Pension Input Period operates for Defined Benefit or Cash Balance schemes.</w:t>
      </w:r>
    </w:p>
    <w:p w14:paraId="2F30FB50" w14:textId="77777777" w:rsidR="00BE1F3E" w:rsidRPr="00393C54" w:rsidRDefault="00BE1F3E" w:rsidP="00DD543A">
      <w:pPr>
        <w:rPr>
          <w:rFonts w:asciiTheme="minorHAnsi" w:hAnsiTheme="minorHAnsi" w:cstheme="minorHAnsi"/>
        </w:rPr>
      </w:pPr>
    </w:p>
    <w:p w14:paraId="0526059B" w14:textId="77777777" w:rsidR="00BE1F3E" w:rsidRPr="00393C54" w:rsidRDefault="0094771D" w:rsidP="00E15354">
      <w:pPr>
        <w:ind w:left="917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Answer should cover:</w:t>
      </w:r>
    </w:p>
    <w:p w14:paraId="1EB1C11C" w14:textId="77777777" w:rsidR="00BE1F3E" w:rsidRPr="00393C54" w:rsidRDefault="00BE1F3E" w:rsidP="00CC425A">
      <w:pPr>
        <w:ind w:left="557"/>
        <w:rPr>
          <w:rFonts w:asciiTheme="minorHAnsi" w:hAnsiTheme="minorHAnsi" w:cstheme="minorHAnsi"/>
        </w:rPr>
      </w:pPr>
    </w:p>
    <w:p w14:paraId="513D132A" w14:textId="77777777" w:rsidR="00E15354" w:rsidRDefault="00E36601" w:rsidP="00E366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15354">
        <w:rPr>
          <w:rFonts w:asciiTheme="minorHAnsi" w:hAnsiTheme="minorHAnsi" w:cstheme="minorHAnsi"/>
        </w:rPr>
        <w:t>the value of a person’s benefits (</w:t>
      </w:r>
      <w:proofErr w:type="gramStart"/>
      <w:r w:rsidRPr="00E15354">
        <w:rPr>
          <w:rFonts w:asciiTheme="minorHAnsi" w:hAnsiTheme="minorHAnsi" w:cstheme="minorHAnsi"/>
        </w:rPr>
        <w:t>i.e.</w:t>
      </w:r>
      <w:proofErr w:type="gramEnd"/>
      <w:r w:rsidRPr="00E15354">
        <w:rPr>
          <w:rFonts w:asciiTheme="minorHAnsi" w:hAnsiTheme="minorHAnsi" w:cstheme="minorHAnsi"/>
        </w:rPr>
        <w:t xml:space="preserve"> their accrued benefit) at the end of the pension input period is compared with the value of their benefits at the end of the previous pension input period</w:t>
      </w:r>
    </w:p>
    <w:p w14:paraId="350878BF" w14:textId="4C3AB370" w:rsidR="00E36601" w:rsidRPr="00E15354" w:rsidRDefault="00E36601" w:rsidP="00E366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15354">
        <w:rPr>
          <w:rFonts w:asciiTheme="minorHAnsi" w:hAnsiTheme="minorHAnsi" w:cstheme="minorHAnsi"/>
        </w:rPr>
        <w:t>Subject to certain adjustments, the difference is the pension input amount for the period.</w:t>
      </w:r>
    </w:p>
    <w:p w14:paraId="4E2C6E28" w14:textId="503DE176" w:rsidR="00F43C8D" w:rsidRDefault="00143000" w:rsidP="008E28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Factors</w:t>
      </w:r>
      <w:r w:rsidR="00BD5E0C">
        <w:rPr>
          <w:rFonts w:asciiTheme="minorHAnsi" w:hAnsiTheme="minorHAnsi" w:cstheme="minorHAnsi"/>
        </w:rPr>
        <w:t xml:space="preserve"> used for valuing benefits at start and end of pension input period</w:t>
      </w:r>
      <w:r w:rsidR="0021768E">
        <w:rPr>
          <w:rFonts w:asciiTheme="minorHAnsi" w:hAnsiTheme="minorHAnsi" w:cstheme="minorHAnsi"/>
        </w:rPr>
        <w:t xml:space="preserve"> (PIP)</w:t>
      </w:r>
    </w:p>
    <w:p w14:paraId="1AD50B26" w14:textId="5697AA98" w:rsidR="008E2895" w:rsidRDefault="00F43C8D" w:rsidP="00F43C8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2010/11 or earlier - </w:t>
      </w:r>
      <w:r w:rsidR="008E2895" w:rsidRPr="00275BDD">
        <w:rPr>
          <w:rFonts w:asciiTheme="minorHAnsi" w:hAnsiTheme="minorHAnsi" w:cstheme="minorHAnsi"/>
        </w:rPr>
        <w:t>factor of ten is used f</w:t>
      </w:r>
      <w:r w:rsidR="00E36601" w:rsidRPr="00275BDD">
        <w:rPr>
          <w:rFonts w:asciiTheme="minorHAnsi" w:hAnsiTheme="minorHAnsi" w:cstheme="minorHAnsi"/>
        </w:rPr>
        <w:t xml:space="preserve">or inputs </w:t>
      </w:r>
    </w:p>
    <w:p w14:paraId="13785EB7" w14:textId="010FAEC3" w:rsidR="004B0607" w:rsidRDefault="004B0607" w:rsidP="00F43C8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2011/12 or later – factor of 16 used</w:t>
      </w:r>
    </w:p>
    <w:p w14:paraId="48A472DD" w14:textId="30CBC332" w:rsidR="00DD0BC0" w:rsidRDefault="00275BDD" w:rsidP="00275B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5BDD">
        <w:rPr>
          <w:rFonts w:asciiTheme="minorHAnsi" w:hAnsiTheme="minorHAnsi" w:cstheme="minorHAnsi"/>
        </w:rPr>
        <w:t xml:space="preserve">Adjustments </w:t>
      </w:r>
      <w:r w:rsidR="004B0607">
        <w:rPr>
          <w:rFonts w:asciiTheme="minorHAnsi" w:hAnsiTheme="minorHAnsi" w:cstheme="minorHAnsi"/>
        </w:rPr>
        <w:t>made</w:t>
      </w:r>
      <w:r w:rsidRPr="00275BDD">
        <w:rPr>
          <w:rFonts w:asciiTheme="minorHAnsi" w:hAnsiTheme="minorHAnsi" w:cstheme="minorHAnsi"/>
        </w:rPr>
        <w:t xml:space="preserve"> to</w:t>
      </w:r>
      <w:r w:rsidR="004B0607">
        <w:rPr>
          <w:rFonts w:asciiTheme="minorHAnsi" w:hAnsiTheme="minorHAnsi" w:cstheme="minorHAnsi"/>
        </w:rPr>
        <w:t xml:space="preserve"> the </w:t>
      </w:r>
      <w:r w:rsidR="0021768E">
        <w:rPr>
          <w:rFonts w:asciiTheme="minorHAnsi" w:hAnsiTheme="minorHAnsi" w:cstheme="minorHAnsi"/>
        </w:rPr>
        <w:t>PIP</w:t>
      </w:r>
      <w:r w:rsidR="00DD0BC0">
        <w:rPr>
          <w:rFonts w:asciiTheme="minorHAnsi" w:hAnsiTheme="minorHAnsi" w:cstheme="minorHAnsi"/>
        </w:rPr>
        <w:t xml:space="preserve"> to</w:t>
      </w:r>
      <w:r w:rsidRPr="00275B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account for</w:t>
      </w:r>
      <w:r w:rsidR="00DD0BC0">
        <w:rPr>
          <w:rFonts w:asciiTheme="minorHAnsi" w:hAnsiTheme="minorHAnsi" w:cstheme="minorHAnsi"/>
        </w:rPr>
        <w:t>:</w:t>
      </w:r>
    </w:p>
    <w:p w14:paraId="36BB2A3A" w14:textId="759EBBDA" w:rsidR="00DD0BC0" w:rsidRDefault="00275BDD" w:rsidP="00DD0BC0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75BDD">
        <w:rPr>
          <w:rFonts w:asciiTheme="minorHAnsi" w:hAnsiTheme="minorHAnsi" w:cstheme="minorHAnsi"/>
        </w:rPr>
        <w:t xml:space="preserve">transfers in or out of the scheme </w:t>
      </w:r>
    </w:p>
    <w:p w14:paraId="4D5553FB" w14:textId="3D9275BA" w:rsidR="00275BDD" w:rsidRPr="00275BDD" w:rsidRDefault="00275BDD" w:rsidP="00DD0BC0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275BDD">
        <w:rPr>
          <w:rFonts w:asciiTheme="minorHAnsi" w:hAnsiTheme="minorHAnsi" w:cstheme="minorHAnsi"/>
        </w:rPr>
        <w:t>pension debits or credits resulting from a divorce</w:t>
      </w:r>
    </w:p>
    <w:p w14:paraId="207F9941" w14:textId="76E2E255" w:rsidR="00275BDD" w:rsidRPr="002A41B0" w:rsidRDefault="002A41B0" w:rsidP="00DD0BC0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75BDD" w:rsidRPr="00275BDD">
        <w:rPr>
          <w:rFonts w:asciiTheme="minorHAnsi" w:hAnsiTheme="minorHAnsi" w:cstheme="minorHAnsi"/>
        </w:rPr>
        <w:t xml:space="preserve">here a member is no longer an </w:t>
      </w:r>
      <w:r w:rsidR="00ED72A3">
        <w:rPr>
          <w:rFonts w:asciiTheme="minorHAnsi" w:hAnsiTheme="minorHAnsi" w:cstheme="minorHAnsi"/>
        </w:rPr>
        <w:t>“</w:t>
      </w:r>
      <w:r w:rsidR="00275BDD" w:rsidRPr="00275BDD">
        <w:rPr>
          <w:rFonts w:asciiTheme="minorHAnsi" w:hAnsiTheme="minorHAnsi" w:cstheme="minorHAnsi"/>
        </w:rPr>
        <w:t>active</w:t>
      </w:r>
      <w:r w:rsidR="00ED72A3">
        <w:rPr>
          <w:rFonts w:asciiTheme="minorHAnsi" w:hAnsiTheme="minorHAnsi" w:cstheme="minorHAnsi"/>
        </w:rPr>
        <w:t>”</w:t>
      </w:r>
      <w:r w:rsidR="00275BDD" w:rsidRPr="00275BDD">
        <w:rPr>
          <w:rFonts w:asciiTheme="minorHAnsi" w:hAnsiTheme="minorHAnsi" w:cstheme="minorHAnsi"/>
        </w:rPr>
        <w:t xml:space="preserve"> member no longer accruing benefits</w:t>
      </w:r>
      <w:r w:rsidR="00AD0A25">
        <w:rPr>
          <w:rFonts w:asciiTheme="minorHAnsi" w:hAnsiTheme="minorHAnsi" w:cstheme="minorHAnsi"/>
        </w:rPr>
        <w:t xml:space="preserve"> - </w:t>
      </w:r>
      <w:r w:rsidR="00275BDD" w:rsidRPr="002A41B0">
        <w:rPr>
          <w:rFonts w:asciiTheme="minorHAnsi" w:hAnsiTheme="minorHAnsi" w:cstheme="minorHAnsi"/>
        </w:rPr>
        <w:t>ensure</w:t>
      </w:r>
      <w:r w:rsidR="0021768E">
        <w:rPr>
          <w:rFonts w:asciiTheme="minorHAnsi" w:hAnsiTheme="minorHAnsi" w:cstheme="minorHAnsi"/>
        </w:rPr>
        <w:t>s</w:t>
      </w:r>
      <w:r w:rsidR="00275BDD" w:rsidRPr="002A41B0">
        <w:rPr>
          <w:rFonts w:asciiTheme="minorHAnsi" w:hAnsiTheme="minorHAnsi" w:cstheme="minorHAnsi"/>
        </w:rPr>
        <w:t xml:space="preserve"> that the </w:t>
      </w:r>
      <w:r w:rsidR="0021768E">
        <w:rPr>
          <w:rFonts w:asciiTheme="minorHAnsi" w:hAnsiTheme="minorHAnsi" w:cstheme="minorHAnsi"/>
        </w:rPr>
        <w:t>PIP is protected from inflation</w:t>
      </w:r>
      <w:r w:rsidR="00B31FC1">
        <w:rPr>
          <w:rFonts w:asciiTheme="minorHAnsi" w:hAnsiTheme="minorHAnsi" w:cstheme="minorHAnsi"/>
        </w:rPr>
        <w:t xml:space="preserve"> by excluding </w:t>
      </w:r>
      <w:r w:rsidR="00275BDD" w:rsidRPr="002A41B0">
        <w:rPr>
          <w:rFonts w:asciiTheme="minorHAnsi" w:hAnsiTheme="minorHAnsi" w:cstheme="minorHAnsi"/>
        </w:rPr>
        <w:t xml:space="preserve">annual revaluation </w:t>
      </w:r>
    </w:p>
    <w:p w14:paraId="7DDD4A7E" w14:textId="77777777" w:rsidR="00021ADC" w:rsidRDefault="00275BDD" w:rsidP="00275B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5BDD">
        <w:rPr>
          <w:rFonts w:asciiTheme="minorHAnsi" w:hAnsiTheme="minorHAnsi" w:cstheme="minorHAnsi"/>
        </w:rPr>
        <w:t>inflation protection extended to active members</w:t>
      </w:r>
      <w:r w:rsidR="00B31FC1">
        <w:rPr>
          <w:rFonts w:asciiTheme="minorHAnsi" w:hAnsiTheme="minorHAnsi" w:cstheme="minorHAnsi"/>
        </w:rPr>
        <w:t xml:space="preserve"> from 2011/12 tax year</w:t>
      </w:r>
    </w:p>
    <w:p w14:paraId="2F20C28B" w14:textId="7EBDD96B" w:rsidR="00275BDD" w:rsidRPr="00021ADC" w:rsidRDefault="00021ADC" w:rsidP="00275B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1ADC">
        <w:rPr>
          <w:rFonts w:asciiTheme="minorHAnsi" w:hAnsiTheme="minorHAnsi" w:cstheme="minorHAnsi"/>
        </w:rPr>
        <w:t>d</w:t>
      </w:r>
      <w:r w:rsidR="00275BDD" w:rsidRPr="00021ADC">
        <w:rPr>
          <w:rFonts w:asciiTheme="minorHAnsi" w:hAnsiTheme="minorHAnsi" w:cstheme="minorHAnsi"/>
        </w:rPr>
        <w:t xml:space="preserve">eferred members whose benefits’ revaluation does not exceed the increase in the CPI (or any higher rate written into the scheme rules) deemed as having no </w:t>
      </w:r>
      <w:r>
        <w:rPr>
          <w:rFonts w:asciiTheme="minorHAnsi" w:hAnsiTheme="minorHAnsi" w:cstheme="minorHAnsi"/>
        </w:rPr>
        <w:t>PIP</w:t>
      </w:r>
      <w:r w:rsidR="00275BDD" w:rsidRPr="00021ADC">
        <w:rPr>
          <w:rFonts w:asciiTheme="minorHAnsi" w:hAnsiTheme="minorHAnsi" w:cstheme="minorHAnsi"/>
        </w:rPr>
        <w:t>.</w:t>
      </w:r>
    </w:p>
    <w:p w14:paraId="45F31826" w14:textId="2373CC75" w:rsidR="00275BDD" w:rsidRDefault="00275BDD" w:rsidP="00021A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75BDD">
        <w:rPr>
          <w:rFonts w:asciiTheme="minorHAnsi" w:hAnsiTheme="minorHAnsi" w:cstheme="minorHAnsi"/>
        </w:rPr>
        <w:t>individual</w:t>
      </w:r>
      <w:r w:rsidR="00021ADC">
        <w:rPr>
          <w:rFonts w:asciiTheme="minorHAnsi" w:hAnsiTheme="minorHAnsi" w:cstheme="minorHAnsi"/>
        </w:rPr>
        <w:t>s</w:t>
      </w:r>
      <w:r w:rsidRPr="00275BDD">
        <w:rPr>
          <w:rFonts w:asciiTheme="minorHAnsi" w:hAnsiTheme="minorHAnsi" w:cstheme="minorHAnsi"/>
        </w:rPr>
        <w:t xml:space="preserve"> subject to the Money Purchase Annual Allowance still entitled to the </w:t>
      </w:r>
      <w:r w:rsidRPr="00021ADC">
        <w:rPr>
          <w:rFonts w:asciiTheme="minorHAnsi" w:hAnsiTheme="minorHAnsi" w:cstheme="minorHAnsi"/>
        </w:rPr>
        <w:t xml:space="preserve">alternative Annual Allowance for ‘other </w:t>
      </w:r>
      <w:proofErr w:type="gramStart"/>
      <w:r w:rsidRPr="00021ADC">
        <w:rPr>
          <w:rFonts w:asciiTheme="minorHAnsi" w:hAnsiTheme="minorHAnsi" w:cstheme="minorHAnsi"/>
        </w:rPr>
        <w:t>inputs’</w:t>
      </w:r>
      <w:proofErr w:type="gramEnd"/>
      <w:r w:rsidRPr="00021ADC">
        <w:rPr>
          <w:rFonts w:asciiTheme="minorHAnsi" w:hAnsiTheme="minorHAnsi" w:cstheme="minorHAnsi"/>
        </w:rPr>
        <w:t>. The ‘alternative’ Annual Allowance is found by subtracting the Money Purchase Annual Allowance from the amount of the Annual Allowance for the tax year</w:t>
      </w:r>
      <w:r w:rsidR="00D84313">
        <w:rPr>
          <w:rFonts w:asciiTheme="minorHAnsi" w:hAnsiTheme="minorHAnsi" w:cstheme="minorHAnsi"/>
        </w:rPr>
        <w:t>.</w:t>
      </w:r>
    </w:p>
    <w:p w14:paraId="2C7760F9" w14:textId="2CA32D14" w:rsidR="00D84313" w:rsidRDefault="00D84313" w:rsidP="00D84313">
      <w:pPr>
        <w:rPr>
          <w:rFonts w:asciiTheme="minorHAnsi" w:hAnsiTheme="minorHAnsi" w:cstheme="minorHAnsi"/>
        </w:rPr>
      </w:pPr>
    </w:p>
    <w:p w14:paraId="3CE95BA7" w14:textId="166FBD54" w:rsidR="008E2895" w:rsidRDefault="00E402AF" w:rsidP="008E2895">
      <w:pPr>
        <w:ind w:left="5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D84313">
        <w:rPr>
          <w:rFonts w:asciiTheme="minorHAnsi" w:hAnsiTheme="minorHAnsi" w:cstheme="minorHAnsi"/>
        </w:rPr>
        <w:t>Relevant section of the manual is Part 4 Chapter 1.2.</w:t>
      </w:r>
    </w:p>
    <w:p w14:paraId="16309790" w14:textId="54897761" w:rsidR="00BE1F3E" w:rsidRDefault="0094771D" w:rsidP="00CC425A">
      <w:pPr>
        <w:ind w:left="8640" w:firstLine="720"/>
        <w:rPr>
          <w:rFonts w:asciiTheme="minorHAnsi" w:hAnsiTheme="minorHAnsi" w:cstheme="minorHAnsi"/>
          <w:b/>
          <w:bCs/>
        </w:rPr>
      </w:pPr>
      <w:r w:rsidRPr="00393C54">
        <w:rPr>
          <w:rFonts w:asciiTheme="minorHAnsi" w:hAnsiTheme="minorHAnsi" w:cstheme="minorHAnsi"/>
          <w:b/>
          <w:bCs/>
        </w:rPr>
        <w:t>10 marks</w:t>
      </w:r>
    </w:p>
    <w:p w14:paraId="38B5AA84" w14:textId="2C5B6179" w:rsidR="006D7890" w:rsidRDefault="006D7890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8B7186D" w14:textId="77777777" w:rsidR="006D7890" w:rsidRPr="00393C54" w:rsidRDefault="006D7890" w:rsidP="006D7890">
      <w:pPr>
        <w:ind w:firstLine="720"/>
        <w:rPr>
          <w:rFonts w:asciiTheme="minorHAnsi" w:hAnsiTheme="minorHAnsi" w:cstheme="minorHAnsi"/>
          <w:b/>
          <w:bCs/>
        </w:rPr>
      </w:pPr>
    </w:p>
    <w:sectPr w:rsidR="006D7890" w:rsidRPr="00393C54" w:rsidSect="00CC425A">
      <w:headerReference w:type="default" r:id="rId7"/>
      <w:footerReference w:type="default" r:id="rId8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92DF" w14:textId="77777777" w:rsidR="002D66C3" w:rsidRDefault="002D66C3">
      <w:r>
        <w:separator/>
      </w:r>
    </w:p>
  </w:endnote>
  <w:endnote w:type="continuationSeparator" w:id="0">
    <w:p w14:paraId="25D9A53C" w14:textId="77777777" w:rsidR="002D66C3" w:rsidRDefault="002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F60B" w14:textId="368CFF3A" w:rsidR="00BE1F3E" w:rsidRDefault="00BE1F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428F" w14:textId="77777777" w:rsidR="002D66C3" w:rsidRDefault="002D66C3">
      <w:r>
        <w:separator/>
      </w:r>
    </w:p>
  </w:footnote>
  <w:footnote w:type="continuationSeparator" w:id="0">
    <w:p w14:paraId="023873BE" w14:textId="77777777" w:rsidR="002D66C3" w:rsidRDefault="002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638" w14:textId="4B5FDD69" w:rsidR="00016A2F" w:rsidRDefault="00016A2F" w:rsidP="00016A2F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33289822" wp14:editId="04A8660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25041254" w14:textId="77777777" w:rsidR="00016A2F" w:rsidRDefault="00016A2F" w:rsidP="00016A2F">
    <w:pPr>
      <w:jc w:val="right"/>
      <w:rPr>
        <w:b/>
        <w:bCs/>
      </w:rPr>
    </w:pPr>
    <w:r>
      <w:t xml:space="preserve">60 Goswell Road </w:t>
    </w:r>
  </w:p>
  <w:p w14:paraId="283FEE25" w14:textId="77777777" w:rsidR="00016A2F" w:rsidRDefault="00016A2F" w:rsidP="00016A2F">
    <w:pPr>
      <w:jc w:val="right"/>
      <w:rPr>
        <w:b/>
        <w:bCs/>
      </w:rPr>
    </w:pPr>
    <w:r>
      <w:t xml:space="preserve">London </w:t>
    </w:r>
  </w:p>
  <w:p w14:paraId="379FBBD0" w14:textId="77777777" w:rsidR="00016A2F" w:rsidRDefault="00016A2F" w:rsidP="00016A2F">
    <w:pPr>
      <w:jc w:val="right"/>
      <w:rPr>
        <w:b/>
        <w:bCs/>
      </w:rPr>
    </w:pPr>
    <w:r>
      <w:t xml:space="preserve">EC1M 7AD </w:t>
    </w:r>
  </w:p>
  <w:p w14:paraId="05F4E126" w14:textId="77777777" w:rsidR="00016A2F" w:rsidRDefault="00016A2F" w:rsidP="00016A2F">
    <w:pPr>
      <w:jc w:val="right"/>
      <w:rPr>
        <w:b/>
        <w:bCs/>
      </w:rPr>
    </w:pPr>
    <w:r>
      <w:t xml:space="preserve">T: +44 (0) 20 7247 1452 </w:t>
    </w:r>
  </w:p>
  <w:p w14:paraId="1E6E2654" w14:textId="77777777" w:rsidR="00016A2F" w:rsidRDefault="00016A2F" w:rsidP="00016A2F">
    <w:pPr>
      <w:jc w:val="right"/>
      <w:rPr>
        <w:b/>
        <w:bCs/>
      </w:rPr>
    </w:pPr>
    <w:r>
      <w:t>W: www.pensions-pmi.org.uk</w:t>
    </w:r>
  </w:p>
  <w:p w14:paraId="17F106DD" w14:textId="29A9B152" w:rsidR="00BE1F3E" w:rsidRPr="00DD543A" w:rsidRDefault="00BE1F3E" w:rsidP="00DD54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099"/>
    <w:multiLevelType w:val="hybridMultilevel"/>
    <w:tmpl w:val="C53642EE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367C7F76"/>
    <w:multiLevelType w:val="hybridMultilevel"/>
    <w:tmpl w:val="8E028E40"/>
    <w:lvl w:ilvl="0" w:tplc="9B4C1A2C">
      <w:start w:val="1"/>
      <w:numFmt w:val="decimal"/>
      <w:lvlText w:val="%1."/>
      <w:lvlJc w:val="left"/>
      <w:pPr>
        <w:ind w:left="920" w:hanging="363"/>
      </w:pPr>
      <w:rPr>
        <w:rFonts w:ascii="Neue Haas Grotesk Text Pro" w:eastAsia="Arial" w:hAnsi="Neue Haas Grotesk Text Pro" w:cs="Arial" w:hint="default"/>
        <w:b/>
        <w:bCs/>
        <w:w w:val="97"/>
        <w:sz w:val="22"/>
        <w:szCs w:val="22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0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136FD"/>
    <w:rsid w:val="00016A2F"/>
    <w:rsid w:val="000204DB"/>
    <w:rsid w:val="00021ADC"/>
    <w:rsid w:val="0004795F"/>
    <w:rsid w:val="00066279"/>
    <w:rsid w:val="00073A5F"/>
    <w:rsid w:val="000B7203"/>
    <w:rsid w:val="000D16E0"/>
    <w:rsid w:val="000D55D1"/>
    <w:rsid w:val="000D7440"/>
    <w:rsid w:val="000D7B81"/>
    <w:rsid w:val="00143000"/>
    <w:rsid w:val="00175FD8"/>
    <w:rsid w:val="0021768E"/>
    <w:rsid w:val="00264FDA"/>
    <w:rsid w:val="00275BDD"/>
    <w:rsid w:val="002A41B0"/>
    <w:rsid w:val="002D66C3"/>
    <w:rsid w:val="00304DB3"/>
    <w:rsid w:val="00322C0C"/>
    <w:rsid w:val="00373C6D"/>
    <w:rsid w:val="00393C54"/>
    <w:rsid w:val="00397516"/>
    <w:rsid w:val="003A0E98"/>
    <w:rsid w:val="003A234F"/>
    <w:rsid w:val="003A6AB3"/>
    <w:rsid w:val="003C596C"/>
    <w:rsid w:val="003C5DE7"/>
    <w:rsid w:val="003D35A9"/>
    <w:rsid w:val="0041756D"/>
    <w:rsid w:val="004A0A94"/>
    <w:rsid w:val="004B0607"/>
    <w:rsid w:val="004D500C"/>
    <w:rsid w:val="005227A3"/>
    <w:rsid w:val="00530097"/>
    <w:rsid w:val="00541A25"/>
    <w:rsid w:val="00552534"/>
    <w:rsid w:val="005B2F40"/>
    <w:rsid w:val="005B7921"/>
    <w:rsid w:val="005C307D"/>
    <w:rsid w:val="005D3D41"/>
    <w:rsid w:val="005D7457"/>
    <w:rsid w:val="005E4526"/>
    <w:rsid w:val="005F511E"/>
    <w:rsid w:val="00600D14"/>
    <w:rsid w:val="00614DB7"/>
    <w:rsid w:val="00622E31"/>
    <w:rsid w:val="00640AD5"/>
    <w:rsid w:val="00664F90"/>
    <w:rsid w:val="00671B36"/>
    <w:rsid w:val="00682643"/>
    <w:rsid w:val="00687F58"/>
    <w:rsid w:val="006B4B14"/>
    <w:rsid w:val="006B6773"/>
    <w:rsid w:val="006D7890"/>
    <w:rsid w:val="006F3176"/>
    <w:rsid w:val="00701404"/>
    <w:rsid w:val="007028AB"/>
    <w:rsid w:val="00743D62"/>
    <w:rsid w:val="00760A3A"/>
    <w:rsid w:val="007B3A90"/>
    <w:rsid w:val="007B6DF8"/>
    <w:rsid w:val="007C1C76"/>
    <w:rsid w:val="007C7DE0"/>
    <w:rsid w:val="007D2803"/>
    <w:rsid w:val="007E0B06"/>
    <w:rsid w:val="008002FF"/>
    <w:rsid w:val="00806807"/>
    <w:rsid w:val="00814F51"/>
    <w:rsid w:val="008727FB"/>
    <w:rsid w:val="008C4A70"/>
    <w:rsid w:val="008E2895"/>
    <w:rsid w:val="0094771D"/>
    <w:rsid w:val="009739F3"/>
    <w:rsid w:val="009B0AD0"/>
    <w:rsid w:val="009F10C3"/>
    <w:rsid w:val="00A05958"/>
    <w:rsid w:val="00A327F3"/>
    <w:rsid w:val="00A367AA"/>
    <w:rsid w:val="00A36A18"/>
    <w:rsid w:val="00A619E2"/>
    <w:rsid w:val="00A85479"/>
    <w:rsid w:val="00AD0A25"/>
    <w:rsid w:val="00AD6DB9"/>
    <w:rsid w:val="00B007E7"/>
    <w:rsid w:val="00B051EC"/>
    <w:rsid w:val="00B07C7F"/>
    <w:rsid w:val="00B24202"/>
    <w:rsid w:val="00B31FC1"/>
    <w:rsid w:val="00B34218"/>
    <w:rsid w:val="00B42489"/>
    <w:rsid w:val="00BB020C"/>
    <w:rsid w:val="00BD5E0C"/>
    <w:rsid w:val="00BE1F3E"/>
    <w:rsid w:val="00BF4F57"/>
    <w:rsid w:val="00C020A7"/>
    <w:rsid w:val="00CC425A"/>
    <w:rsid w:val="00CF4621"/>
    <w:rsid w:val="00D01884"/>
    <w:rsid w:val="00D0359E"/>
    <w:rsid w:val="00D1313D"/>
    <w:rsid w:val="00D45D3B"/>
    <w:rsid w:val="00D53461"/>
    <w:rsid w:val="00D64216"/>
    <w:rsid w:val="00D84313"/>
    <w:rsid w:val="00DD0BC0"/>
    <w:rsid w:val="00DD543A"/>
    <w:rsid w:val="00E15354"/>
    <w:rsid w:val="00E36601"/>
    <w:rsid w:val="00E402AF"/>
    <w:rsid w:val="00EA6765"/>
    <w:rsid w:val="00EB6109"/>
    <w:rsid w:val="00ED72A3"/>
    <w:rsid w:val="00F05ED7"/>
    <w:rsid w:val="00F271DD"/>
    <w:rsid w:val="00F3149E"/>
    <w:rsid w:val="00F43C8D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115</cp:revision>
  <dcterms:created xsi:type="dcterms:W3CDTF">2021-11-14T09:23:00Z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