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73696DA9" w14:textId="707C196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3E834C6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A0E0FC" w14:textId="5E3D8989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Assignment 2 </w:t>
      </w:r>
      <w:r w:rsidR="00CD6CF2" w:rsidRPr="002358BF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79D24567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60A80" w14:textId="766EC69A" w:rsidR="00CD6CF2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(Part 3 – Benefits and Communication)</w:t>
      </w:r>
    </w:p>
    <w:p w14:paraId="12C5FE2E" w14:textId="77777777" w:rsidR="00CD6CF2" w:rsidRPr="002358BF" w:rsidRDefault="00CD6CF2" w:rsidP="00CD6CF2">
      <w:pPr>
        <w:jc w:val="center"/>
        <w:rPr>
          <w:rFonts w:asciiTheme="minorHAnsi" w:hAnsiTheme="minorHAnsi" w:cstheme="minorHAnsi"/>
        </w:rPr>
      </w:pPr>
    </w:p>
    <w:p w14:paraId="6CE3FDAF" w14:textId="12BD6B32" w:rsidR="00AD53F9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Recommended Time: 1 Hour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BDF3E51" w14:textId="1736CFC5" w:rsidR="00AD53F9" w:rsidRPr="002358BF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 xml:space="preserve">Explain the </w:t>
      </w:r>
      <w:r w:rsidR="005F2F9D">
        <w:rPr>
          <w:rFonts w:asciiTheme="minorHAnsi" w:hAnsiTheme="minorHAnsi" w:cstheme="minorHAnsi"/>
          <w:b/>
          <w:bCs/>
        </w:rPr>
        <w:t>term “Statutory Discharge”, in relation to a transfer o</w:t>
      </w:r>
      <w:r w:rsidR="00390C15">
        <w:rPr>
          <w:rFonts w:asciiTheme="minorHAnsi" w:hAnsiTheme="minorHAnsi" w:cstheme="minorHAnsi"/>
          <w:b/>
          <w:bCs/>
        </w:rPr>
        <w:t>f</w:t>
      </w:r>
      <w:r w:rsidR="005F2F9D">
        <w:rPr>
          <w:rFonts w:asciiTheme="minorHAnsi" w:hAnsiTheme="minorHAnsi" w:cstheme="minorHAnsi"/>
          <w:b/>
          <w:bCs/>
        </w:rPr>
        <w:t xml:space="preserve"> a member’s benefits to </w:t>
      </w:r>
      <w:r w:rsidR="00390C15">
        <w:rPr>
          <w:rFonts w:asciiTheme="minorHAnsi" w:hAnsiTheme="minorHAnsi" w:cstheme="minorHAnsi"/>
          <w:b/>
          <w:bCs/>
        </w:rPr>
        <w:t>another pension arrangement</w:t>
      </w:r>
      <w:r w:rsidR="00CD6CF2" w:rsidRPr="002358BF">
        <w:rPr>
          <w:rFonts w:asciiTheme="minorHAnsi" w:hAnsiTheme="minorHAnsi" w:cstheme="minorHAnsi"/>
          <w:b/>
          <w:bCs/>
        </w:rPr>
        <w:t>.</w:t>
      </w:r>
    </w:p>
    <w:p w14:paraId="1E668717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E593E3E" w14:textId="77777777" w:rsidR="00AD53F9" w:rsidRPr="002358BF" w:rsidRDefault="00C8151B" w:rsidP="00CD6CF2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20B5B5E7" w14:textId="77777777" w:rsidR="00AD53F9" w:rsidRPr="002358BF" w:rsidRDefault="00AD53F9" w:rsidP="00CD6CF2">
      <w:pPr>
        <w:ind w:left="720"/>
        <w:rPr>
          <w:rFonts w:asciiTheme="minorHAnsi" w:hAnsiTheme="minorHAnsi" w:cstheme="minorHAnsi"/>
        </w:rPr>
      </w:pPr>
    </w:p>
    <w:p w14:paraId="22E44AF5" w14:textId="52232D0A" w:rsidR="00F94ECD" w:rsidRPr="00EE3E3F" w:rsidRDefault="007C7F7F" w:rsidP="00EE3E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94ECD" w:rsidRPr="00FE77F8">
        <w:rPr>
          <w:rFonts w:asciiTheme="minorHAnsi" w:hAnsiTheme="minorHAnsi" w:cstheme="minorHAnsi"/>
        </w:rPr>
        <w:t xml:space="preserve">here a member exercises their statutory right to a transfer, the trustees of the transferring scheme have </w:t>
      </w:r>
      <w:r w:rsidR="00F94ECD" w:rsidRPr="001179B6">
        <w:rPr>
          <w:rFonts w:asciiTheme="minorHAnsi" w:hAnsiTheme="minorHAnsi" w:cstheme="minorHAnsi"/>
        </w:rPr>
        <w:t xml:space="preserve">a full statutory discharge, so that they are not required to provide the member with any benefits to which </w:t>
      </w:r>
      <w:r w:rsidR="00F94ECD" w:rsidRPr="00EE3E3F">
        <w:rPr>
          <w:rFonts w:asciiTheme="minorHAnsi" w:hAnsiTheme="minorHAnsi" w:cstheme="minorHAnsi"/>
        </w:rPr>
        <w:t xml:space="preserve">the cash equivalent related, so long as the receiving arrangement satisfies prescribed requirements </w:t>
      </w:r>
    </w:p>
    <w:p w14:paraId="7A1BC06B" w14:textId="096C7377" w:rsidR="00F94ECD" w:rsidRPr="00EE3E3F" w:rsidRDefault="00F94ECD" w:rsidP="00EE3E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exact requirements vary depending on whether the receiving arrangement is an occupational scheme, a </w:t>
      </w:r>
      <w:r w:rsidRPr="00EE3E3F">
        <w:rPr>
          <w:rFonts w:asciiTheme="minorHAnsi" w:hAnsiTheme="minorHAnsi" w:cstheme="minorHAnsi"/>
        </w:rPr>
        <w:t xml:space="preserve">personal </w:t>
      </w:r>
      <w:proofErr w:type="gramStart"/>
      <w:r w:rsidRPr="00EE3E3F">
        <w:rPr>
          <w:rFonts w:asciiTheme="minorHAnsi" w:hAnsiTheme="minorHAnsi" w:cstheme="minorHAnsi"/>
        </w:rPr>
        <w:t>pension</w:t>
      </w:r>
      <w:proofErr w:type="gramEnd"/>
      <w:r w:rsidRPr="00EE3E3F">
        <w:rPr>
          <w:rFonts w:asciiTheme="minorHAnsi" w:hAnsiTheme="minorHAnsi" w:cstheme="minorHAnsi"/>
        </w:rPr>
        <w:t xml:space="preserve"> or a buy-out policy.</w:t>
      </w:r>
    </w:p>
    <w:p w14:paraId="3EC3D6C7" w14:textId="1A7F30D4" w:rsidR="00EE3E3F" w:rsidRDefault="007C7F7F" w:rsidP="00EE3E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94ECD" w:rsidRPr="00FE77F8">
        <w:rPr>
          <w:rFonts w:asciiTheme="minorHAnsi" w:hAnsiTheme="minorHAnsi" w:cstheme="minorHAnsi"/>
        </w:rPr>
        <w:t xml:space="preserve"> member with a statutory right to a transfer can split the cash equivalent between as many occupational </w:t>
      </w:r>
      <w:r w:rsidR="00F94ECD" w:rsidRPr="00EE3E3F">
        <w:rPr>
          <w:rFonts w:asciiTheme="minorHAnsi" w:hAnsiTheme="minorHAnsi" w:cstheme="minorHAnsi"/>
        </w:rPr>
        <w:t>pension schemes, buy out policies and personal pension arrangements as they wish</w:t>
      </w:r>
    </w:p>
    <w:p w14:paraId="21CCD3B1" w14:textId="1A6C440A" w:rsidR="00F94ECD" w:rsidRPr="00EE3E3F" w:rsidRDefault="007C7F7F" w:rsidP="00EE3E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34F4D">
        <w:rPr>
          <w:rFonts w:asciiTheme="minorHAnsi" w:hAnsiTheme="minorHAnsi" w:cstheme="minorHAnsi"/>
        </w:rPr>
        <w:t xml:space="preserve">sually </w:t>
      </w:r>
      <w:proofErr w:type="gramStart"/>
      <w:r w:rsidR="00934F4D" w:rsidRPr="00EE3E3F">
        <w:rPr>
          <w:rFonts w:asciiTheme="minorHAnsi" w:hAnsiTheme="minorHAnsi" w:cstheme="minorHAnsi"/>
        </w:rPr>
        <w:t>all of</w:t>
      </w:r>
      <w:proofErr w:type="gramEnd"/>
      <w:r w:rsidR="00934F4D" w:rsidRPr="00EE3E3F">
        <w:rPr>
          <w:rFonts w:asciiTheme="minorHAnsi" w:hAnsiTheme="minorHAnsi" w:cstheme="minorHAnsi"/>
        </w:rPr>
        <w:t xml:space="preserve"> the value in respect of that benefit type must be transferred</w:t>
      </w:r>
      <w:r w:rsidR="00EE3E3F">
        <w:rPr>
          <w:rFonts w:asciiTheme="minorHAnsi" w:hAnsiTheme="minorHAnsi" w:cstheme="minorHAnsi"/>
        </w:rPr>
        <w:t xml:space="preserve"> </w:t>
      </w:r>
      <w:r w:rsidR="00F94ECD" w:rsidRPr="00EE3E3F">
        <w:rPr>
          <w:rFonts w:asciiTheme="minorHAnsi" w:hAnsiTheme="minorHAnsi" w:cstheme="minorHAnsi"/>
        </w:rPr>
        <w:t>for the statutory discharge to apply</w:t>
      </w:r>
    </w:p>
    <w:p w14:paraId="7722EAC2" w14:textId="77777777" w:rsidR="007C7F7F" w:rsidRDefault="00F94ECD" w:rsidP="00EE3E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additional </w:t>
      </w:r>
      <w:r w:rsidRPr="00EE3E3F">
        <w:rPr>
          <w:rFonts w:asciiTheme="minorHAnsi" w:hAnsiTheme="minorHAnsi" w:cstheme="minorHAnsi"/>
        </w:rPr>
        <w:t>requirements must be met</w:t>
      </w:r>
      <w:r w:rsidR="00EE3E3F">
        <w:rPr>
          <w:rFonts w:asciiTheme="minorHAnsi" w:hAnsiTheme="minorHAnsi" w:cstheme="minorHAnsi"/>
        </w:rPr>
        <w:t xml:space="preserve"> where the benefits include </w:t>
      </w:r>
      <w:r w:rsidR="00934F4D">
        <w:rPr>
          <w:rFonts w:asciiTheme="minorHAnsi" w:hAnsiTheme="minorHAnsi" w:cstheme="minorHAnsi"/>
        </w:rPr>
        <w:t>contracted-out benefits</w:t>
      </w:r>
    </w:p>
    <w:p w14:paraId="3DE9CD18" w14:textId="3D351DA1" w:rsidR="00F94ECD" w:rsidRPr="00634562" w:rsidRDefault="007C7F7F" w:rsidP="00FE77F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34562">
        <w:rPr>
          <w:rFonts w:asciiTheme="minorHAnsi" w:hAnsiTheme="minorHAnsi" w:cstheme="minorHAnsi"/>
        </w:rPr>
        <w:t xml:space="preserve">where </w:t>
      </w:r>
      <w:r w:rsidR="00F94ECD" w:rsidRPr="00634562">
        <w:rPr>
          <w:rFonts w:asciiTheme="minorHAnsi" w:hAnsiTheme="minorHAnsi" w:cstheme="minorHAnsi"/>
        </w:rPr>
        <w:t>receiving scheme is also a former contracted-out scheme</w:t>
      </w:r>
      <w:r w:rsidR="00634562" w:rsidRPr="00634562">
        <w:rPr>
          <w:rFonts w:asciiTheme="minorHAnsi" w:hAnsiTheme="minorHAnsi" w:cstheme="minorHAnsi"/>
        </w:rPr>
        <w:t>,</w:t>
      </w:r>
      <w:r w:rsidR="00F94ECD" w:rsidRPr="00634562">
        <w:rPr>
          <w:rFonts w:asciiTheme="minorHAnsi" w:hAnsiTheme="minorHAnsi" w:cstheme="minorHAnsi"/>
        </w:rPr>
        <w:t xml:space="preserve"> </w:t>
      </w:r>
      <w:r w:rsidR="00634562" w:rsidRPr="00634562">
        <w:rPr>
          <w:rFonts w:asciiTheme="minorHAnsi" w:hAnsiTheme="minorHAnsi" w:cstheme="minorHAnsi"/>
        </w:rPr>
        <w:t>the transfer can be made without any additional requirements</w:t>
      </w:r>
      <w:r w:rsidR="00F94ECD" w:rsidRPr="00634562">
        <w:rPr>
          <w:rFonts w:asciiTheme="minorHAnsi" w:hAnsiTheme="minorHAnsi" w:cstheme="minorHAnsi"/>
        </w:rPr>
        <w:t xml:space="preserve"> provided it protects the transferred contracted out </w:t>
      </w:r>
      <w:proofErr w:type="gramStart"/>
      <w:r w:rsidR="00F94ECD" w:rsidRPr="00634562">
        <w:rPr>
          <w:rFonts w:asciiTheme="minorHAnsi" w:hAnsiTheme="minorHAnsi" w:cstheme="minorHAnsi"/>
        </w:rPr>
        <w:t>rights,.</w:t>
      </w:r>
      <w:proofErr w:type="gramEnd"/>
    </w:p>
    <w:p w14:paraId="0A8B7A4D" w14:textId="39BE723F" w:rsidR="00F94ECD" w:rsidRPr="005271A3" w:rsidRDefault="00F94ECD" w:rsidP="005271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contracted-out rights can be transferred to a scheme that was never contracted-out </w:t>
      </w:r>
      <w:r w:rsidRPr="005271A3">
        <w:rPr>
          <w:rFonts w:asciiTheme="minorHAnsi" w:hAnsiTheme="minorHAnsi" w:cstheme="minorHAnsi"/>
        </w:rPr>
        <w:t xml:space="preserve">provided the member consents in writing to the transfer and confirms in writing that </w:t>
      </w:r>
      <w:proofErr w:type="gramStart"/>
      <w:r w:rsidRPr="005271A3">
        <w:rPr>
          <w:rFonts w:asciiTheme="minorHAnsi" w:hAnsiTheme="minorHAnsi" w:cstheme="minorHAnsi"/>
        </w:rPr>
        <w:t>they;</w:t>
      </w:r>
      <w:proofErr w:type="gramEnd"/>
    </w:p>
    <w:p w14:paraId="23DF8E8D" w14:textId="05BB4C06" w:rsidR="00F94ECD" w:rsidRPr="00FE77F8" w:rsidRDefault="00F94ECD" w:rsidP="005271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have received a statement from the receiving scheme setting out the benefits they will </w:t>
      </w:r>
      <w:proofErr w:type="gramStart"/>
      <w:r w:rsidRPr="00FE77F8">
        <w:rPr>
          <w:rFonts w:asciiTheme="minorHAnsi" w:hAnsiTheme="minorHAnsi" w:cstheme="minorHAnsi"/>
        </w:rPr>
        <w:t>receive;</w:t>
      </w:r>
      <w:proofErr w:type="gramEnd"/>
    </w:p>
    <w:p w14:paraId="27C41E7B" w14:textId="76AD5ACC" w:rsidR="00F94ECD" w:rsidRPr="005271A3" w:rsidRDefault="00F94ECD" w:rsidP="005271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acknowledge that the benefits in the receiving scheme may be in a different form and amount to those </w:t>
      </w:r>
      <w:r w:rsidRPr="005271A3">
        <w:rPr>
          <w:rFonts w:asciiTheme="minorHAnsi" w:hAnsiTheme="minorHAnsi" w:cstheme="minorHAnsi"/>
        </w:rPr>
        <w:t>which would have been payable in the transferring scheme; and</w:t>
      </w:r>
    </w:p>
    <w:p w14:paraId="7CE59827" w14:textId="22C938F2" w:rsidR="00F94ECD" w:rsidRPr="005271A3" w:rsidRDefault="00F94ECD" w:rsidP="005271A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acknowledge that there is no statutory requirement for the receiving scheme to provide for survivors </w:t>
      </w:r>
      <w:r w:rsidRPr="005271A3">
        <w:rPr>
          <w:rFonts w:asciiTheme="minorHAnsi" w:hAnsiTheme="minorHAnsi" w:cstheme="minorHAnsi"/>
        </w:rPr>
        <w:t xml:space="preserve">benefits out of the transfer value. </w:t>
      </w:r>
    </w:p>
    <w:p w14:paraId="2FA4C5D2" w14:textId="6328F95D" w:rsidR="00634562" w:rsidRDefault="00634562" w:rsidP="00FE77F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</w:t>
      </w:r>
      <w:r w:rsidR="00F94ECD" w:rsidRPr="00FE77F8">
        <w:rPr>
          <w:rFonts w:asciiTheme="minorHAnsi" w:hAnsiTheme="minorHAnsi" w:cstheme="minorHAnsi"/>
        </w:rPr>
        <w:t xml:space="preserve">a statutory right does not </w:t>
      </w:r>
      <w:proofErr w:type="gramStart"/>
      <w:r w:rsidR="00F94ECD" w:rsidRPr="00FE77F8">
        <w:rPr>
          <w:rFonts w:asciiTheme="minorHAnsi" w:hAnsiTheme="minorHAnsi" w:cstheme="minorHAnsi"/>
        </w:rPr>
        <w:t>exist</w:t>
      </w:r>
      <w:proofErr w:type="gramEnd"/>
      <w:r>
        <w:rPr>
          <w:rFonts w:asciiTheme="minorHAnsi" w:hAnsiTheme="minorHAnsi" w:cstheme="minorHAnsi"/>
        </w:rPr>
        <w:t xml:space="preserve"> and </w:t>
      </w:r>
      <w:r w:rsidRPr="00FE77F8">
        <w:rPr>
          <w:rFonts w:asciiTheme="minorHAnsi" w:hAnsiTheme="minorHAnsi" w:cstheme="minorHAnsi"/>
        </w:rPr>
        <w:t>trustees allow a member to transfer their benefits</w:t>
      </w:r>
      <w:r>
        <w:rPr>
          <w:rFonts w:asciiTheme="minorHAnsi" w:hAnsiTheme="minorHAnsi" w:cstheme="minorHAnsi"/>
        </w:rPr>
        <w:t>:</w:t>
      </w:r>
    </w:p>
    <w:p w14:paraId="36FB78C6" w14:textId="0514E380" w:rsidR="00F94ECD" w:rsidRPr="00390C15" w:rsidRDefault="00F94ECD" w:rsidP="00634562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77F8">
        <w:rPr>
          <w:rFonts w:asciiTheme="minorHAnsi" w:hAnsiTheme="minorHAnsi" w:cstheme="minorHAnsi"/>
        </w:rPr>
        <w:t xml:space="preserve">trustees do </w:t>
      </w:r>
      <w:r w:rsidRPr="00634562">
        <w:rPr>
          <w:rFonts w:asciiTheme="minorHAnsi" w:hAnsiTheme="minorHAnsi" w:cstheme="minorHAnsi"/>
        </w:rPr>
        <w:t>not have a statutory discharge of their liability to provide benefits for the member</w:t>
      </w:r>
      <w:r w:rsidRPr="00390C15">
        <w:rPr>
          <w:rFonts w:asciiTheme="minorHAnsi" w:hAnsiTheme="minorHAnsi" w:cstheme="minorHAnsi"/>
        </w:rPr>
        <w:t xml:space="preserve"> </w:t>
      </w:r>
    </w:p>
    <w:p w14:paraId="30B14AC5" w14:textId="417E355E" w:rsidR="007A4CC8" w:rsidRDefault="00634562" w:rsidP="007A4CC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trustees </w:t>
      </w:r>
      <w:r w:rsidR="00F94ECD" w:rsidRPr="00FE77F8">
        <w:rPr>
          <w:rFonts w:asciiTheme="minorHAnsi" w:hAnsiTheme="minorHAnsi" w:cstheme="minorHAnsi"/>
        </w:rPr>
        <w:t>will usually insist that the member completes a form to acknowledge that the trustees will no longer be</w:t>
      </w:r>
      <w:r w:rsidR="003318DD">
        <w:rPr>
          <w:rFonts w:asciiTheme="minorHAnsi" w:hAnsiTheme="minorHAnsi" w:cstheme="minorHAnsi"/>
        </w:rPr>
        <w:t xml:space="preserve"> </w:t>
      </w:r>
      <w:r w:rsidR="00F94ECD" w:rsidRPr="003318DD">
        <w:rPr>
          <w:rFonts w:asciiTheme="minorHAnsi" w:hAnsiTheme="minorHAnsi" w:cstheme="minorHAnsi"/>
        </w:rPr>
        <w:t>obliged to provide benefits for them.</w:t>
      </w:r>
    </w:p>
    <w:p w14:paraId="21D21BA3" w14:textId="147AF071" w:rsidR="007A4CC8" w:rsidRDefault="007A4CC8" w:rsidP="007A4CC8">
      <w:pPr>
        <w:pStyle w:val="ListParagraph"/>
        <w:ind w:left="0" w:firstLine="0"/>
        <w:rPr>
          <w:rFonts w:asciiTheme="minorHAnsi" w:hAnsiTheme="minorHAnsi" w:cstheme="minorHAnsi"/>
        </w:rPr>
      </w:pPr>
    </w:p>
    <w:p w14:paraId="4B66E9AE" w14:textId="66A2365F" w:rsidR="007A4CC8" w:rsidRPr="007A4CC8" w:rsidRDefault="007A4CC8" w:rsidP="007A4CC8">
      <w:pPr>
        <w:ind w:left="720"/>
        <w:rPr>
          <w:rFonts w:asciiTheme="minorHAnsi" w:hAnsiTheme="minorHAnsi" w:cstheme="minorHAnsi"/>
        </w:rPr>
      </w:pPr>
      <w:r w:rsidRPr="00E128AA">
        <w:rPr>
          <w:rFonts w:asciiTheme="minorHAnsi" w:hAnsiTheme="minorHAnsi" w:cstheme="minorHAnsi"/>
        </w:rPr>
        <w:t xml:space="preserve">Relevant section of the manual is Part 3 Chapter </w:t>
      </w:r>
      <w:r w:rsidR="00524E57"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>.</w:t>
      </w:r>
    </w:p>
    <w:p w14:paraId="37F51326" w14:textId="77777777" w:rsidR="00AD53F9" w:rsidRPr="002358BF" w:rsidRDefault="00C8151B" w:rsidP="00CD6CF2">
      <w:pPr>
        <w:ind w:left="8640" w:firstLine="72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10 marks</w:t>
      </w:r>
    </w:p>
    <w:p w14:paraId="12838E04" w14:textId="77777777" w:rsidR="00CD6CF2" w:rsidRPr="002358BF" w:rsidRDefault="00CD6CF2" w:rsidP="0045225D">
      <w:pPr>
        <w:rPr>
          <w:rFonts w:asciiTheme="minorHAnsi" w:hAnsiTheme="minorHAnsi" w:cstheme="minorHAnsi"/>
        </w:rPr>
      </w:pPr>
    </w:p>
    <w:p w14:paraId="3B33A9EB" w14:textId="6978891F" w:rsidR="00AD53F9" w:rsidRPr="002358BF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 xml:space="preserve">Explain </w:t>
      </w:r>
      <w:r w:rsidR="00524303">
        <w:rPr>
          <w:rFonts w:asciiTheme="minorHAnsi" w:hAnsiTheme="minorHAnsi" w:cstheme="minorHAnsi"/>
          <w:b/>
          <w:bCs/>
        </w:rPr>
        <w:t>the practi</w:t>
      </w:r>
      <w:r w:rsidR="00A046FD">
        <w:rPr>
          <w:rFonts w:asciiTheme="minorHAnsi" w:hAnsiTheme="minorHAnsi" w:cstheme="minorHAnsi"/>
          <w:b/>
          <w:bCs/>
        </w:rPr>
        <w:t>c</w:t>
      </w:r>
      <w:r w:rsidR="00524303">
        <w:rPr>
          <w:rFonts w:asciiTheme="minorHAnsi" w:hAnsiTheme="minorHAnsi" w:cstheme="minorHAnsi"/>
          <w:b/>
          <w:bCs/>
        </w:rPr>
        <w:t>e whereby</w:t>
      </w:r>
      <w:r w:rsidR="00A046FD">
        <w:rPr>
          <w:rFonts w:asciiTheme="minorHAnsi" w:hAnsiTheme="minorHAnsi" w:cstheme="minorHAnsi"/>
          <w:b/>
          <w:bCs/>
        </w:rPr>
        <w:t xml:space="preserve"> trustees can exercise discretion</w:t>
      </w:r>
      <w:r w:rsidR="00E128AA">
        <w:rPr>
          <w:rFonts w:asciiTheme="minorHAnsi" w:hAnsiTheme="minorHAnsi" w:cstheme="minorHAnsi"/>
          <w:b/>
          <w:bCs/>
        </w:rPr>
        <w:t xml:space="preserve"> in relation to the payment of lump sum death benefits.</w:t>
      </w:r>
    </w:p>
    <w:p w14:paraId="480A7097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38E30FD" w14:textId="77777777" w:rsidR="00AD53F9" w:rsidRPr="002358BF" w:rsidRDefault="00C8151B" w:rsidP="00CD6CF2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10FA357A" w14:textId="77777777" w:rsidR="00AD53F9" w:rsidRPr="002358BF" w:rsidRDefault="00AD53F9" w:rsidP="00CD6CF2">
      <w:pPr>
        <w:ind w:left="720"/>
        <w:rPr>
          <w:rFonts w:asciiTheme="minorHAnsi" w:hAnsiTheme="minorHAnsi" w:cstheme="minorHAnsi"/>
        </w:rPr>
      </w:pPr>
    </w:p>
    <w:p w14:paraId="6ADF5DD7" w14:textId="35F05DCE" w:rsidR="004E51B2" w:rsidRPr="00A046FD" w:rsidRDefault="009A1B2B" w:rsidP="004E51B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046FD">
        <w:rPr>
          <w:rFonts w:asciiTheme="minorHAnsi" w:hAnsiTheme="minorHAnsi" w:cstheme="minorHAnsi"/>
        </w:rPr>
        <w:t xml:space="preserve">Scheme rules </w:t>
      </w:r>
      <w:r w:rsidR="00052EEF" w:rsidRPr="00A046FD">
        <w:rPr>
          <w:rFonts w:asciiTheme="minorHAnsi" w:hAnsiTheme="minorHAnsi" w:cstheme="minorHAnsi"/>
        </w:rPr>
        <w:t>may provide for trustees to exercise discretion as to the recipient(s) of the benefits</w:t>
      </w:r>
      <w:r w:rsidR="00A046FD" w:rsidRPr="00A046FD">
        <w:rPr>
          <w:rFonts w:asciiTheme="minorHAnsi" w:hAnsiTheme="minorHAnsi" w:cstheme="minorHAnsi"/>
        </w:rPr>
        <w:t xml:space="preserve"> - </w:t>
      </w:r>
      <w:r w:rsidR="00A046FD">
        <w:rPr>
          <w:rFonts w:asciiTheme="minorHAnsi" w:hAnsiTheme="minorHAnsi" w:cstheme="minorHAnsi"/>
        </w:rPr>
        <w:t>r</w:t>
      </w:r>
      <w:r w:rsidRPr="00A046FD">
        <w:rPr>
          <w:rFonts w:asciiTheme="minorHAnsi" w:hAnsiTheme="minorHAnsi" w:cstheme="minorHAnsi"/>
        </w:rPr>
        <w:t xml:space="preserve">ules may restrict the categories of potential recipients the trustees can </w:t>
      </w:r>
    </w:p>
    <w:p w14:paraId="3678012B" w14:textId="53894D10" w:rsidR="009A1B2B" w:rsidRPr="003E48D3" w:rsidRDefault="004E51B2" w:rsidP="003E48D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E48D3">
        <w:rPr>
          <w:rFonts w:asciiTheme="minorHAnsi" w:hAnsiTheme="minorHAnsi" w:cstheme="minorHAnsi"/>
        </w:rPr>
        <w:t>t</w:t>
      </w:r>
      <w:r w:rsidR="009A1B2B" w:rsidRPr="003E48D3">
        <w:rPr>
          <w:rFonts w:asciiTheme="minorHAnsi" w:hAnsiTheme="minorHAnsi" w:cstheme="minorHAnsi"/>
        </w:rPr>
        <w:t xml:space="preserve">he member </w:t>
      </w:r>
      <w:r w:rsidRPr="003E48D3">
        <w:rPr>
          <w:rFonts w:asciiTheme="minorHAnsi" w:hAnsiTheme="minorHAnsi" w:cstheme="minorHAnsi"/>
        </w:rPr>
        <w:t>may have completed</w:t>
      </w:r>
      <w:r w:rsidR="003E48D3" w:rsidRPr="003E48D3">
        <w:rPr>
          <w:rFonts w:asciiTheme="minorHAnsi" w:hAnsiTheme="minorHAnsi" w:cstheme="minorHAnsi"/>
        </w:rPr>
        <w:t xml:space="preserve"> an</w:t>
      </w:r>
      <w:r w:rsidR="003E48D3">
        <w:rPr>
          <w:rFonts w:asciiTheme="minorHAnsi" w:hAnsiTheme="minorHAnsi" w:cstheme="minorHAnsi"/>
        </w:rPr>
        <w:t xml:space="preserve"> </w:t>
      </w:r>
      <w:r w:rsidR="009A1B2B" w:rsidRPr="003E48D3">
        <w:rPr>
          <w:rFonts w:asciiTheme="minorHAnsi" w:hAnsiTheme="minorHAnsi" w:cstheme="minorHAnsi"/>
        </w:rPr>
        <w:t>expression of wish form, although trustees are not obliged to comply with this nomination</w:t>
      </w:r>
    </w:p>
    <w:p w14:paraId="34D19B20" w14:textId="01325E1F" w:rsidR="009A1B2B" w:rsidRPr="003E48D3" w:rsidRDefault="009A1B2B" w:rsidP="003E48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48D3">
        <w:rPr>
          <w:rFonts w:asciiTheme="minorHAnsi" w:hAnsiTheme="minorHAnsi" w:cstheme="minorHAnsi"/>
        </w:rPr>
        <w:lastRenderedPageBreak/>
        <w:t xml:space="preserve">trustees will determine the potential recipient(s) taking account of both the member’s nomination </w:t>
      </w:r>
    </w:p>
    <w:p w14:paraId="212FC737" w14:textId="77777777" w:rsidR="00A046FD" w:rsidRDefault="009A1B2B" w:rsidP="00063A50">
      <w:pPr>
        <w:ind w:left="1080"/>
        <w:rPr>
          <w:rFonts w:asciiTheme="minorHAnsi" w:hAnsiTheme="minorHAnsi" w:cstheme="minorHAnsi"/>
        </w:rPr>
      </w:pPr>
      <w:r w:rsidRPr="009A1B2B">
        <w:rPr>
          <w:rFonts w:asciiTheme="minorHAnsi" w:hAnsiTheme="minorHAnsi" w:cstheme="minorHAnsi"/>
        </w:rPr>
        <w:t xml:space="preserve">form </w:t>
      </w:r>
      <w:proofErr w:type="gramStart"/>
      <w:r w:rsidRPr="009A1B2B">
        <w:rPr>
          <w:rFonts w:asciiTheme="minorHAnsi" w:hAnsiTheme="minorHAnsi" w:cstheme="minorHAnsi"/>
        </w:rPr>
        <w:t>and also</w:t>
      </w:r>
      <w:proofErr w:type="gramEnd"/>
      <w:r w:rsidRPr="009A1B2B">
        <w:rPr>
          <w:rFonts w:asciiTheme="minorHAnsi" w:hAnsiTheme="minorHAnsi" w:cstheme="minorHAnsi"/>
        </w:rPr>
        <w:t xml:space="preserve"> the member’s personal circumstances at death</w:t>
      </w:r>
    </w:p>
    <w:p w14:paraId="68E54EFB" w14:textId="1DC81DE6" w:rsidR="009A1B2B" w:rsidRPr="00A046FD" w:rsidRDefault="009A1B2B" w:rsidP="00A046F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A046FD">
        <w:rPr>
          <w:rFonts w:asciiTheme="minorHAnsi" w:hAnsiTheme="minorHAnsi" w:cstheme="minorHAnsi"/>
        </w:rPr>
        <w:t xml:space="preserve">trustees usually make their decision as to which of the potential recipient(s) will receive a lump sum </w:t>
      </w:r>
    </w:p>
    <w:p w14:paraId="4013F1D0" w14:textId="77777777" w:rsidR="009A1B2B" w:rsidRPr="009A1B2B" w:rsidRDefault="009A1B2B" w:rsidP="00277D1F">
      <w:pPr>
        <w:pStyle w:val="ListParagraph"/>
        <w:ind w:left="1080" w:firstLine="0"/>
        <w:rPr>
          <w:rFonts w:asciiTheme="minorHAnsi" w:hAnsiTheme="minorHAnsi" w:cstheme="minorHAnsi"/>
        </w:rPr>
      </w:pPr>
      <w:r w:rsidRPr="009A1B2B">
        <w:rPr>
          <w:rFonts w:asciiTheme="minorHAnsi" w:hAnsiTheme="minorHAnsi" w:cstheme="minorHAnsi"/>
        </w:rPr>
        <w:t>death benefit, and in what shares, either at a full trustee meeting or through an appointed committee</w:t>
      </w:r>
    </w:p>
    <w:p w14:paraId="5A450CE6" w14:textId="3F256DDF" w:rsidR="009A1B2B" w:rsidRPr="00A046FD" w:rsidRDefault="009A1B2B" w:rsidP="00A046F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A046FD">
        <w:rPr>
          <w:rFonts w:asciiTheme="minorHAnsi" w:hAnsiTheme="minorHAnsi" w:cstheme="minorHAnsi"/>
        </w:rPr>
        <w:t xml:space="preserve">lump sum death benefits </w:t>
      </w:r>
      <w:r w:rsidR="00A046FD" w:rsidRPr="00A046FD">
        <w:rPr>
          <w:rFonts w:asciiTheme="minorHAnsi" w:hAnsiTheme="minorHAnsi" w:cstheme="minorHAnsi"/>
        </w:rPr>
        <w:t xml:space="preserve">paid </w:t>
      </w:r>
      <w:r w:rsidRPr="00A046FD">
        <w:rPr>
          <w:rFonts w:asciiTheme="minorHAnsi" w:hAnsiTheme="minorHAnsi" w:cstheme="minorHAnsi"/>
        </w:rPr>
        <w:t xml:space="preserve">under the trustees’ discretionary powers </w:t>
      </w:r>
      <w:r w:rsidR="00A046FD" w:rsidRPr="00A046FD">
        <w:rPr>
          <w:rFonts w:asciiTheme="minorHAnsi" w:hAnsiTheme="minorHAnsi" w:cstheme="minorHAnsi"/>
        </w:rPr>
        <w:t>do</w:t>
      </w:r>
      <w:r w:rsidRPr="00A046FD">
        <w:rPr>
          <w:rFonts w:asciiTheme="minorHAnsi" w:hAnsiTheme="minorHAnsi" w:cstheme="minorHAnsi"/>
        </w:rPr>
        <w:t xml:space="preserve"> not form part of the deceased’s estate and </w:t>
      </w:r>
      <w:r w:rsidR="00A046FD" w:rsidRPr="00A046FD">
        <w:rPr>
          <w:rFonts w:asciiTheme="minorHAnsi" w:hAnsiTheme="minorHAnsi" w:cstheme="minorHAnsi"/>
        </w:rPr>
        <w:t>are</w:t>
      </w:r>
      <w:r w:rsidRPr="00A046FD">
        <w:rPr>
          <w:rFonts w:asciiTheme="minorHAnsi" w:hAnsiTheme="minorHAnsi" w:cstheme="minorHAnsi"/>
        </w:rPr>
        <w:t xml:space="preserve"> not assessable for Inheritance Tax</w:t>
      </w:r>
    </w:p>
    <w:p w14:paraId="296ACF05" w14:textId="711FA3C1" w:rsidR="00E128AA" w:rsidRDefault="009A1B2B" w:rsidP="0042297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2297C">
        <w:rPr>
          <w:rFonts w:asciiTheme="minorHAnsi" w:hAnsiTheme="minorHAnsi" w:cstheme="minorHAnsi"/>
        </w:rPr>
        <w:t xml:space="preserve">earmarking order </w:t>
      </w:r>
      <w:r w:rsidR="002D51D0" w:rsidRPr="0042297C">
        <w:rPr>
          <w:rFonts w:asciiTheme="minorHAnsi" w:hAnsiTheme="minorHAnsi" w:cstheme="minorHAnsi"/>
        </w:rPr>
        <w:t>may</w:t>
      </w:r>
      <w:r w:rsidRPr="0042297C">
        <w:rPr>
          <w:rFonts w:asciiTheme="minorHAnsi" w:hAnsiTheme="minorHAnsi" w:cstheme="minorHAnsi"/>
        </w:rPr>
        <w:t xml:space="preserve"> require that a specified percentage of any lump sum death benefit </w:t>
      </w:r>
      <w:r w:rsidR="002D51D0" w:rsidRPr="0042297C">
        <w:rPr>
          <w:rFonts w:asciiTheme="minorHAnsi" w:hAnsiTheme="minorHAnsi" w:cstheme="minorHAnsi"/>
        </w:rPr>
        <w:t>is</w:t>
      </w:r>
      <w:r w:rsidRPr="0042297C">
        <w:rPr>
          <w:rFonts w:asciiTheme="minorHAnsi" w:hAnsiTheme="minorHAnsi" w:cstheme="minorHAnsi"/>
        </w:rPr>
        <w:t xml:space="preserve"> paid automatically to the member’s ex-spouse/civil partner</w:t>
      </w:r>
      <w:r w:rsidR="00F33867" w:rsidRPr="0042297C">
        <w:rPr>
          <w:rFonts w:asciiTheme="minorHAnsi" w:hAnsiTheme="minorHAnsi" w:cstheme="minorHAnsi"/>
        </w:rPr>
        <w:t xml:space="preserve"> </w:t>
      </w:r>
      <w:proofErr w:type="gramStart"/>
      <w:r w:rsidR="00F33867" w:rsidRPr="0042297C">
        <w:rPr>
          <w:rFonts w:asciiTheme="minorHAnsi" w:hAnsiTheme="minorHAnsi" w:cstheme="minorHAnsi"/>
        </w:rPr>
        <w:t xml:space="preserve">- </w:t>
      </w:r>
      <w:r w:rsidRPr="0042297C">
        <w:rPr>
          <w:rFonts w:asciiTheme="minorHAnsi" w:hAnsiTheme="minorHAnsi" w:cstheme="minorHAnsi"/>
        </w:rPr>
        <w:t xml:space="preserve"> trustees</w:t>
      </w:r>
      <w:proofErr w:type="gramEnd"/>
      <w:r w:rsidRPr="0042297C">
        <w:rPr>
          <w:rFonts w:asciiTheme="minorHAnsi" w:hAnsiTheme="minorHAnsi" w:cstheme="minorHAnsi"/>
        </w:rPr>
        <w:t xml:space="preserve"> </w:t>
      </w:r>
      <w:r w:rsidR="00F33867" w:rsidRPr="0042297C">
        <w:rPr>
          <w:rFonts w:asciiTheme="minorHAnsi" w:hAnsiTheme="minorHAnsi" w:cstheme="minorHAnsi"/>
        </w:rPr>
        <w:t xml:space="preserve">must </w:t>
      </w:r>
      <w:r w:rsidR="0042297C" w:rsidRPr="0042297C">
        <w:rPr>
          <w:rFonts w:asciiTheme="minorHAnsi" w:hAnsiTheme="minorHAnsi" w:cstheme="minorHAnsi"/>
        </w:rPr>
        <w:t xml:space="preserve">allow for this  before </w:t>
      </w:r>
      <w:r w:rsidRPr="0042297C">
        <w:rPr>
          <w:rFonts w:asciiTheme="minorHAnsi" w:hAnsiTheme="minorHAnsi" w:cstheme="minorHAnsi"/>
        </w:rPr>
        <w:t>exercis</w:t>
      </w:r>
      <w:r w:rsidR="0042297C" w:rsidRPr="0042297C">
        <w:rPr>
          <w:rFonts w:asciiTheme="minorHAnsi" w:hAnsiTheme="minorHAnsi" w:cstheme="minorHAnsi"/>
        </w:rPr>
        <w:t>ing</w:t>
      </w:r>
      <w:r w:rsidRPr="0042297C">
        <w:rPr>
          <w:rFonts w:asciiTheme="minorHAnsi" w:hAnsiTheme="minorHAnsi" w:cstheme="minorHAnsi"/>
        </w:rPr>
        <w:t xml:space="preserve"> their discretion over any remaining lump sum death benefit.</w:t>
      </w:r>
    </w:p>
    <w:p w14:paraId="65DA1DC5" w14:textId="77777777" w:rsidR="0042297C" w:rsidRPr="0042297C" w:rsidRDefault="0042297C" w:rsidP="0042297C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2527F587" w14:textId="2CC9D7AD" w:rsidR="00AD53F9" w:rsidRPr="002358BF" w:rsidRDefault="00E128AA" w:rsidP="00E128AA">
      <w:pPr>
        <w:ind w:left="720"/>
        <w:rPr>
          <w:rFonts w:asciiTheme="minorHAnsi" w:hAnsiTheme="minorHAnsi" w:cstheme="minorHAnsi"/>
        </w:rPr>
      </w:pPr>
      <w:r w:rsidRPr="00E128AA">
        <w:rPr>
          <w:rFonts w:asciiTheme="minorHAnsi" w:hAnsiTheme="minorHAnsi" w:cstheme="minorHAnsi"/>
        </w:rPr>
        <w:t xml:space="preserve">Relevant section of the manual is Part 3 Chapter </w:t>
      </w:r>
      <w:r w:rsidR="00117A09">
        <w:rPr>
          <w:rFonts w:asciiTheme="minorHAnsi" w:hAnsiTheme="minorHAnsi" w:cstheme="minorHAnsi"/>
        </w:rPr>
        <w:t>4.2.2</w:t>
      </w:r>
      <w:r>
        <w:rPr>
          <w:rFonts w:asciiTheme="minorHAnsi" w:hAnsiTheme="minorHAnsi" w:cstheme="minorHAnsi"/>
        </w:rPr>
        <w:t>.</w:t>
      </w:r>
    </w:p>
    <w:p w14:paraId="51FEC3BA" w14:textId="58B82293" w:rsidR="00AD53F9" w:rsidRPr="002358BF" w:rsidRDefault="008C7286" w:rsidP="00CD6CF2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C8151B" w:rsidRPr="002358BF">
        <w:rPr>
          <w:rFonts w:asciiTheme="minorHAnsi" w:hAnsiTheme="minorHAnsi" w:cstheme="minorHAnsi"/>
          <w:b/>
          <w:bCs/>
        </w:rPr>
        <w:t xml:space="preserve"> marks</w:t>
      </w:r>
    </w:p>
    <w:p w14:paraId="35A79C66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7A27C91F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635BA2D2" w14:textId="3A4456B8" w:rsidR="00AD53F9" w:rsidRPr="002358BF" w:rsidRDefault="0080329E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Briefly outline</w:t>
      </w:r>
      <w:r w:rsidR="00C8151B" w:rsidRPr="002358BF">
        <w:rPr>
          <w:rFonts w:asciiTheme="minorHAnsi" w:hAnsiTheme="minorHAnsi" w:cstheme="minorHAnsi"/>
          <w:b/>
          <w:bCs/>
        </w:rPr>
        <w:t xml:space="preserve"> the </w:t>
      </w:r>
      <w:r w:rsidR="0023039A">
        <w:rPr>
          <w:rFonts w:asciiTheme="minorHAnsi" w:hAnsiTheme="minorHAnsi" w:cstheme="minorHAnsi"/>
          <w:b/>
          <w:bCs/>
        </w:rPr>
        <w:t xml:space="preserve">main </w:t>
      </w:r>
      <w:r w:rsidR="00902163">
        <w:rPr>
          <w:rFonts w:asciiTheme="minorHAnsi" w:hAnsiTheme="minorHAnsi" w:cstheme="minorHAnsi"/>
          <w:b/>
          <w:bCs/>
        </w:rPr>
        <w:t xml:space="preserve">administration requirements </w:t>
      </w:r>
      <w:r w:rsidR="007F041A">
        <w:rPr>
          <w:rFonts w:asciiTheme="minorHAnsi" w:hAnsiTheme="minorHAnsi" w:cstheme="minorHAnsi"/>
          <w:b/>
          <w:bCs/>
        </w:rPr>
        <w:t xml:space="preserve">of a scheme when implementing and administering </w:t>
      </w:r>
      <w:r w:rsidR="002E6A20">
        <w:rPr>
          <w:rFonts w:asciiTheme="minorHAnsi" w:hAnsiTheme="minorHAnsi" w:cstheme="minorHAnsi"/>
          <w:b/>
          <w:bCs/>
        </w:rPr>
        <w:t>a Court order in the case of a divorce.</w:t>
      </w:r>
    </w:p>
    <w:p w14:paraId="4D82362B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1764EE55" w14:textId="77777777" w:rsidR="00AD53F9" w:rsidRPr="002358BF" w:rsidRDefault="00C8151B" w:rsidP="00CD6CF2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1617FD23" w14:textId="77777777" w:rsidR="00AD53F9" w:rsidRPr="002358BF" w:rsidRDefault="00AD53F9" w:rsidP="00CD6CF2">
      <w:pPr>
        <w:ind w:left="720"/>
        <w:rPr>
          <w:rFonts w:asciiTheme="minorHAnsi" w:hAnsiTheme="minorHAnsi" w:cstheme="minorHAnsi"/>
        </w:rPr>
      </w:pPr>
    </w:p>
    <w:p w14:paraId="13A21C4B" w14:textId="24B4A327" w:rsidR="00691F4F" w:rsidRPr="00F65243" w:rsidRDefault="00EB068E" w:rsidP="00691F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65243">
        <w:rPr>
          <w:rFonts w:asciiTheme="minorHAnsi" w:hAnsiTheme="minorHAnsi" w:cstheme="minorHAnsi"/>
        </w:rPr>
        <w:t>Strict t</w:t>
      </w:r>
      <w:r w:rsidR="00472E8F" w:rsidRPr="00F65243">
        <w:rPr>
          <w:rFonts w:asciiTheme="minorHAnsi" w:hAnsiTheme="minorHAnsi" w:cstheme="minorHAnsi"/>
        </w:rPr>
        <w:t>imeframes for providing information and implementing/admin</w:t>
      </w:r>
      <w:r w:rsidRPr="00F65243">
        <w:rPr>
          <w:rFonts w:asciiTheme="minorHAnsi" w:hAnsiTheme="minorHAnsi" w:cstheme="minorHAnsi"/>
        </w:rPr>
        <w:t>istering Court orders</w:t>
      </w:r>
      <w:r w:rsidR="00F65243" w:rsidRPr="00F65243">
        <w:rPr>
          <w:rFonts w:asciiTheme="minorHAnsi" w:hAnsiTheme="minorHAnsi" w:cstheme="minorHAnsi"/>
        </w:rPr>
        <w:t xml:space="preserve"> - </w:t>
      </w:r>
      <w:r w:rsidR="00691F4F" w:rsidRPr="00F65243">
        <w:rPr>
          <w:rFonts w:asciiTheme="minorHAnsi" w:hAnsiTheme="minorHAnsi" w:cstheme="minorHAnsi"/>
        </w:rPr>
        <w:t>TPR may fine trustees or managers of pension schemes for failing to comply with timescales</w:t>
      </w:r>
    </w:p>
    <w:p w14:paraId="2FF9D26B" w14:textId="47759489" w:rsidR="00691F4F" w:rsidRPr="00F65243" w:rsidRDefault="00F65243" w:rsidP="00F652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91F4F" w:rsidRPr="00691F4F">
        <w:rPr>
          <w:rFonts w:asciiTheme="minorHAnsi" w:hAnsiTheme="minorHAnsi" w:cstheme="minorHAnsi"/>
        </w:rPr>
        <w:t xml:space="preserve">rustees can recover the cost of providing certain information and/or </w:t>
      </w:r>
      <w:r w:rsidR="00691F4F" w:rsidRPr="00F65243">
        <w:rPr>
          <w:rFonts w:asciiTheme="minorHAnsi" w:hAnsiTheme="minorHAnsi" w:cstheme="minorHAnsi"/>
        </w:rPr>
        <w:t xml:space="preserve">administering pension sharing orders from the member or his/her ex-spouse </w:t>
      </w:r>
    </w:p>
    <w:p w14:paraId="56B721B5" w14:textId="1184F112" w:rsidR="00691F4F" w:rsidRPr="008119E1" w:rsidRDefault="00691F4F" w:rsidP="00691F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119E1">
        <w:rPr>
          <w:rFonts w:asciiTheme="minorHAnsi" w:hAnsiTheme="minorHAnsi" w:cstheme="minorHAnsi"/>
        </w:rPr>
        <w:t>Trustees must implement the pension sharing order by either</w:t>
      </w:r>
      <w:r w:rsidR="008119E1" w:rsidRPr="008119E1">
        <w:rPr>
          <w:rFonts w:asciiTheme="minorHAnsi" w:hAnsiTheme="minorHAnsi" w:cstheme="minorHAnsi"/>
        </w:rPr>
        <w:t xml:space="preserve"> p</w:t>
      </w:r>
      <w:r w:rsidRPr="008119E1">
        <w:rPr>
          <w:rFonts w:asciiTheme="minorHAnsi" w:hAnsiTheme="minorHAnsi" w:cstheme="minorHAnsi"/>
        </w:rPr>
        <w:t>roviding the ex-spouse with benefits within their scheme</w:t>
      </w:r>
      <w:r w:rsidR="008119E1" w:rsidRPr="008119E1">
        <w:rPr>
          <w:rFonts w:asciiTheme="minorHAnsi" w:hAnsiTheme="minorHAnsi" w:cstheme="minorHAnsi"/>
        </w:rPr>
        <w:t xml:space="preserve"> or </w:t>
      </w:r>
      <w:r w:rsidR="008119E1">
        <w:rPr>
          <w:rFonts w:asciiTheme="minorHAnsi" w:hAnsiTheme="minorHAnsi" w:cstheme="minorHAnsi"/>
        </w:rPr>
        <w:t>t</w:t>
      </w:r>
      <w:r w:rsidRPr="008119E1">
        <w:rPr>
          <w:rFonts w:asciiTheme="minorHAnsi" w:hAnsiTheme="minorHAnsi" w:cstheme="minorHAnsi"/>
        </w:rPr>
        <w:t xml:space="preserve">ransferring the ex-spouse’s pension credit to another suitable arrangement </w:t>
      </w:r>
    </w:p>
    <w:p w14:paraId="51C1C000" w14:textId="04D0368C" w:rsidR="00691F4F" w:rsidRPr="008A765E" w:rsidRDefault="00691F4F" w:rsidP="008A76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91F4F">
        <w:rPr>
          <w:rFonts w:asciiTheme="minorHAnsi" w:hAnsiTheme="minorHAnsi" w:cstheme="minorHAnsi"/>
        </w:rPr>
        <w:t xml:space="preserve">An ex-spouse has the right to request that the pension credit is transferred to an external arrangement </w:t>
      </w:r>
      <w:r w:rsidRPr="008A765E">
        <w:rPr>
          <w:rFonts w:asciiTheme="minorHAnsi" w:hAnsiTheme="minorHAnsi" w:cstheme="minorHAnsi"/>
        </w:rPr>
        <w:t>and, if such a request is made, the trustees must comply with it</w:t>
      </w:r>
    </w:p>
    <w:p w14:paraId="1060222B" w14:textId="4E6A70AA" w:rsidR="00691F4F" w:rsidRPr="00691F4F" w:rsidRDefault="00691F4F" w:rsidP="00F652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91F4F">
        <w:rPr>
          <w:rFonts w:asciiTheme="minorHAnsi" w:hAnsiTheme="minorHAnsi" w:cstheme="minorHAnsi"/>
        </w:rPr>
        <w:t xml:space="preserve">Where benefits are created for the ex-spouse within the scheme, administrators must create a new </w:t>
      </w:r>
      <w:r w:rsidRPr="008A765E">
        <w:rPr>
          <w:rFonts w:asciiTheme="minorHAnsi" w:hAnsiTheme="minorHAnsi" w:cstheme="minorHAnsi"/>
        </w:rPr>
        <w:t>membership category to accommodate them: the pension credit member</w:t>
      </w:r>
      <w:r w:rsidRPr="00691F4F">
        <w:rPr>
          <w:rFonts w:asciiTheme="minorHAnsi" w:hAnsiTheme="minorHAnsi" w:cstheme="minorHAnsi"/>
        </w:rPr>
        <w:t xml:space="preserve"> </w:t>
      </w:r>
    </w:p>
    <w:p w14:paraId="7ABF189B" w14:textId="5184A92D" w:rsidR="00F908D2" w:rsidRDefault="00691F4F" w:rsidP="00F652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91F4F">
        <w:rPr>
          <w:rFonts w:asciiTheme="minorHAnsi" w:hAnsiTheme="minorHAnsi" w:cstheme="minorHAnsi"/>
        </w:rPr>
        <w:t>Alternatively, in the absence of any request from the ex-spouse, the trustees can transfer the pension</w:t>
      </w:r>
      <w:r w:rsidR="00F65243">
        <w:rPr>
          <w:rFonts w:asciiTheme="minorHAnsi" w:hAnsiTheme="minorHAnsi" w:cstheme="minorHAnsi"/>
        </w:rPr>
        <w:t xml:space="preserve"> </w:t>
      </w:r>
      <w:r w:rsidRPr="00F65243">
        <w:rPr>
          <w:rFonts w:asciiTheme="minorHAnsi" w:hAnsiTheme="minorHAnsi" w:cstheme="minorHAnsi"/>
        </w:rPr>
        <w:t>credit to another arrangement selected by them.</w:t>
      </w:r>
    </w:p>
    <w:p w14:paraId="695B0F3E" w14:textId="0BE5A729" w:rsidR="00243E93" w:rsidRDefault="00243E93" w:rsidP="00243E93">
      <w:pPr>
        <w:rPr>
          <w:rFonts w:asciiTheme="minorHAnsi" w:hAnsiTheme="minorHAnsi" w:cstheme="minorHAnsi"/>
        </w:rPr>
      </w:pPr>
    </w:p>
    <w:p w14:paraId="044A8CD1" w14:textId="4D5BA616" w:rsidR="00243E93" w:rsidRPr="00243E93" w:rsidRDefault="00243E93" w:rsidP="00243E9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section of the manual is Part 3 Chapter 5.3.</w:t>
      </w:r>
    </w:p>
    <w:p w14:paraId="315C7F01" w14:textId="1BD94F2C" w:rsidR="00AD53F9" w:rsidRPr="002358BF" w:rsidRDefault="00C8151B" w:rsidP="00F908D2">
      <w:pPr>
        <w:pStyle w:val="ListParagraph"/>
        <w:ind w:left="9360" w:firstLine="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p w14:paraId="44811BEF" w14:textId="16E4C38E" w:rsidR="00AD53F9" w:rsidRDefault="00AD53F9" w:rsidP="0045225D">
      <w:pPr>
        <w:rPr>
          <w:rFonts w:asciiTheme="minorHAnsi" w:hAnsiTheme="minorHAnsi" w:cstheme="minorHAnsi"/>
        </w:rPr>
      </w:pPr>
    </w:p>
    <w:p w14:paraId="612EE877" w14:textId="77777777" w:rsidR="002F6032" w:rsidRPr="002358BF" w:rsidRDefault="002F6032" w:rsidP="0045225D">
      <w:pPr>
        <w:rPr>
          <w:rFonts w:asciiTheme="minorHAnsi" w:hAnsiTheme="minorHAnsi" w:cstheme="minorHAnsi"/>
        </w:rPr>
      </w:pPr>
    </w:p>
    <w:p w14:paraId="2819801C" w14:textId="502A951D" w:rsidR="00AD53F9" w:rsidRPr="002358BF" w:rsidRDefault="00981FCC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Briefly explain</w:t>
      </w:r>
      <w:r w:rsidR="008168AB">
        <w:rPr>
          <w:rFonts w:asciiTheme="minorHAnsi" w:hAnsiTheme="minorHAnsi" w:cstheme="minorHAnsi"/>
          <w:b/>
          <w:bCs/>
        </w:rPr>
        <w:t xml:space="preserve"> the</w:t>
      </w:r>
      <w:r w:rsidR="00C8151B" w:rsidRPr="002358BF">
        <w:rPr>
          <w:rFonts w:asciiTheme="minorHAnsi" w:hAnsiTheme="minorHAnsi" w:cstheme="minorHAnsi"/>
          <w:b/>
          <w:bCs/>
        </w:rPr>
        <w:t xml:space="preserve"> factors that </w:t>
      </w:r>
      <w:r w:rsidR="008168AB">
        <w:rPr>
          <w:rFonts w:asciiTheme="minorHAnsi" w:hAnsiTheme="minorHAnsi" w:cstheme="minorHAnsi"/>
          <w:b/>
          <w:bCs/>
        </w:rPr>
        <w:t>trustees</w:t>
      </w:r>
      <w:r w:rsidR="00062B50">
        <w:rPr>
          <w:rFonts w:asciiTheme="minorHAnsi" w:hAnsiTheme="minorHAnsi" w:cstheme="minorHAnsi"/>
          <w:b/>
          <w:bCs/>
        </w:rPr>
        <w:t xml:space="preserve"> and employers should consider when</w:t>
      </w:r>
      <w:r w:rsidR="00062B50" w:rsidRPr="00062B50">
        <w:rPr>
          <w:rFonts w:asciiTheme="minorHAnsi" w:hAnsiTheme="minorHAnsi" w:cstheme="minorHAnsi"/>
        </w:rPr>
        <w:t xml:space="preserve"> </w:t>
      </w:r>
      <w:r w:rsidR="00062B50" w:rsidRPr="00062B50">
        <w:rPr>
          <w:rFonts w:asciiTheme="minorHAnsi" w:hAnsiTheme="minorHAnsi" w:cstheme="minorHAnsi"/>
          <w:b/>
          <w:bCs/>
        </w:rPr>
        <w:t>looking to produce a communication aimed at pension scheme members</w:t>
      </w:r>
      <w:r w:rsidR="00CD6CF2" w:rsidRPr="002358BF">
        <w:rPr>
          <w:rFonts w:asciiTheme="minorHAnsi" w:hAnsiTheme="minorHAnsi" w:cstheme="minorHAnsi"/>
          <w:b/>
          <w:bCs/>
        </w:rPr>
        <w:t>.</w:t>
      </w:r>
    </w:p>
    <w:p w14:paraId="7554754E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442527F3" w14:textId="77777777" w:rsidR="00AD53F9" w:rsidRPr="002358BF" w:rsidRDefault="00C8151B" w:rsidP="00CD6CF2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607A5D6E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638CC982" w14:textId="5079276A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Clear communication plan</w:t>
      </w:r>
    </w:p>
    <w:p w14:paraId="2B1B689A" w14:textId="7239A569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Identify the best way to communicate</w:t>
      </w:r>
    </w:p>
    <w:p w14:paraId="5588B6C2" w14:textId="288B949F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Tailor communications to the audience</w:t>
      </w:r>
    </w:p>
    <w:p w14:paraId="78D81002" w14:textId="0DD16BC2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Remember the needs of all different categories of members</w:t>
      </w:r>
    </w:p>
    <w:p w14:paraId="13EB0D46" w14:textId="361FBCB5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Be open and honest</w:t>
      </w:r>
    </w:p>
    <w:p w14:paraId="3B68E350" w14:textId="7A972D50" w:rsidR="008168AB" w:rsidRPr="008168AB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Avoid jargon</w:t>
      </w:r>
    </w:p>
    <w:p w14:paraId="685D6028" w14:textId="4758A757" w:rsidR="00CD6CF2" w:rsidRDefault="008168AB" w:rsidP="00062B5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168AB">
        <w:rPr>
          <w:rFonts w:asciiTheme="minorHAnsi" w:hAnsiTheme="minorHAnsi" w:cstheme="minorHAnsi"/>
        </w:rPr>
        <w:t>Choose the correct time to engage</w:t>
      </w:r>
    </w:p>
    <w:p w14:paraId="6591E036" w14:textId="77777777" w:rsidR="00062B50" w:rsidRDefault="00062B50" w:rsidP="00062B50">
      <w:pPr>
        <w:ind w:left="720"/>
        <w:rPr>
          <w:rFonts w:asciiTheme="minorHAnsi" w:hAnsiTheme="minorHAnsi" w:cstheme="minorHAnsi"/>
        </w:rPr>
      </w:pPr>
    </w:p>
    <w:p w14:paraId="2F187D5D" w14:textId="7B7C580B" w:rsidR="00062B50" w:rsidRPr="00062B50" w:rsidRDefault="00062B50" w:rsidP="00062B50">
      <w:pPr>
        <w:ind w:left="720"/>
        <w:rPr>
          <w:rFonts w:asciiTheme="minorHAnsi" w:hAnsiTheme="minorHAnsi" w:cstheme="minorHAnsi"/>
        </w:rPr>
      </w:pPr>
      <w:r w:rsidRPr="00062B50">
        <w:rPr>
          <w:rFonts w:asciiTheme="minorHAnsi" w:hAnsiTheme="minorHAnsi" w:cstheme="minorHAnsi"/>
        </w:rPr>
        <w:t xml:space="preserve">Relevant section of the manual is Part 3 Chapter </w:t>
      </w:r>
      <w:r>
        <w:rPr>
          <w:rFonts w:asciiTheme="minorHAnsi" w:hAnsiTheme="minorHAnsi" w:cstheme="minorHAnsi"/>
        </w:rPr>
        <w:t>7.1.2.</w:t>
      </w:r>
    </w:p>
    <w:p w14:paraId="3698FDE0" w14:textId="7519584C" w:rsidR="00AD53F9" w:rsidRPr="002358BF" w:rsidRDefault="00C8151B" w:rsidP="00CD6CF2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p w14:paraId="55B3CB6C" w14:textId="77777777" w:rsidR="00AD53F9" w:rsidRPr="002358BF" w:rsidRDefault="00AD53F9" w:rsidP="0045225D">
      <w:pPr>
        <w:rPr>
          <w:rFonts w:asciiTheme="minorHAnsi" w:hAnsiTheme="minorHAnsi" w:cstheme="minorHAnsi"/>
          <w:b/>
          <w:bCs/>
        </w:rPr>
      </w:pPr>
    </w:p>
    <w:p w14:paraId="41A4BF6F" w14:textId="5EA90E50" w:rsidR="00CD6CF2" w:rsidRDefault="00CD6CF2" w:rsidP="0045225D">
      <w:pPr>
        <w:rPr>
          <w:rFonts w:asciiTheme="minorHAnsi" w:hAnsiTheme="minorHAnsi" w:cstheme="minorHAnsi"/>
          <w:b/>
          <w:bCs/>
        </w:rPr>
      </w:pPr>
    </w:p>
    <w:p w14:paraId="1696F8BE" w14:textId="77777777" w:rsidR="008435F6" w:rsidRPr="002358BF" w:rsidRDefault="008435F6" w:rsidP="0045225D">
      <w:pPr>
        <w:rPr>
          <w:rFonts w:asciiTheme="minorHAnsi" w:hAnsiTheme="minorHAnsi" w:cstheme="minorHAnsi"/>
          <w:b/>
          <w:bCs/>
        </w:rPr>
      </w:pPr>
    </w:p>
    <w:p w14:paraId="01B51D2F" w14:textId="092D83BC" w:rsidR="00AD53F9" w:rsidRPr="002358BF" w:rsidRDefault="00AA4DF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Briefly e</w:t>
      </w:r>
      <w:r w:rsidR="00C8151B" w:rsidRPr="002358BF">
        <w:rPr>
          <w:rFonts w:asciiTheme="minorHAnsi" w:hAnsiTheme="minorHAnsi" w:cstheme="minorHAnsi"/>
          <w:b/>
          <w:bCs/>
        </w:rPr>
        <w:t xml:space="preserve">xplain </w:t>
      </w:r>
      <w:r w:rsidR="004A3A99">
        <w:rPr>
          <w:rFonts w:asciiTheme="minorHAnsi" w:hAnsiTheme="minorHAnsi" w:cstheme="minorHAnsi"/>
          <w:b/>
          <w:bCs/>
        </w:rPr>
        <w:t xml:space="preserve">key </w:t>
      </w:r>
      <w:r w:rsidR="002F0305">
        <w:rPr>
          <w:rFonts w:asciiTheme="minorHAnsi" w:hAnsiTheme="minorHAnsi" w:cstheme="minorHAnsi"/>
          <w:b/>
          <w:bCs/>
        </w:rPr>
        <w:t>features</w:t>
      </w:r>
      <w:r w:rsidR="004A3A99">
        <w:rPr>
          <w:rFonts w:asciiTheme="minorHAnsi" w:hAnsiTheme="minorHAnsi" w:cstheme="minorHAnsi"/>
          <w:b/>
          <w:bCs/>
        </w:rPr>
        <w:t xml:space="preserve"> of </w:t>
      </w:r>
      <w:r w:rsidR="00542ED7">
        <w:rPr>
          <w:rFonts w:asciiTheme="minorHAnsi" w:hAnsiTheme="minorHAnsi" w:cstheme="minorHAnsi"/>
          <w:b/>
          <w:bCs/>
        </w:rPr>
        <w:t xml:space="preserve">three </w:t>
      </w:r>
      <w:r w:rsidR="00791ACB">
        <w:rPr>
          <w:rFonts w:asciiTheme="minorHAnsi" w:hAnsiTheme="minorHAnsi" w:cstheme="minorHAnsi"/>
          <w:b/>
          <w:bCs/>
        </w:rPr>
        <w:t>options available to members of DC pensio</w:t>
      </w:r>
      <w:r w:rsidR="00EA7B31">
        <w:rPr>
          <w:rFonts w:asciiTheme="minorHAnsi" w:hAnsiTheme="minorHAnsi" w:cstheme="minorHAnsi"/>
          <w:b/>
          <w:bCs/>
        </w:rPr>
        <w:t xml:space="preserve">n schemes which are </w:t>
      </w:r>
      <w:r w:rsidR="00542ED7">
        <w:rPr>
          <w:rFonts w:asciiTheme="minorHAnsi" w:hAnsiTheme="minorHAnsi" w:cstheme="minorHAnsi"/>
          <w:b/>
          <w:bCs/>
        </w:rPr>
        <w:t xml:space="preserve">alternatives to </w:t>
      </w:r>
      <w:r w:rsidR="00791ACB">
        <w:rPr>
          <w:rFonts w:asciiTheme="minorHAnsi" w:hAnsiTheme="minorHAnsi" w:cstheme="minorHAnsi"/>
          <w:b/>
          <w:bCs/>
        </w:rPr>
        <w:t>buying an annuity</w:t>
      </w:r>
      <w:r w:rsidR="00CD6CF2" w:rsidRPr="002358BF">
        <w:rPr>
          <w:rFonts w:asciiTheme="minorHAnsi" w:hAnsiTheme="minorHAnsi" w:cstheme="minorHAnsi"/>
          <w:b/>
          <w:bCs/>
        </w:rPr>
        <w:t>.</w:t>
      </w:r>
    </w:p>
    <w:p w14:paraId="1C2D4D66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10FEF3D0" w14:textId="097E9DBB" w:rsidR="00AD53F9" w:rsidRDefault="00C8151B" w:rsidP="00CD6CF2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5975C482" w14:textId="16008433" w:rsidR="00EA7B31" w:rsidRDefault="00EA7B31" w:rsidP="00CD6CF2">
      <w:pPr>
        <w:ind w:left="720"/>
        <w:rPr>
          <w:rFonts w:asciiTheme="minorHAnsi" w:hAnsiTheme="minorHAnsi" w:cstheme="minorHAnsi"/>
        </w:rPr>
      </w:pPr>
    </w:p>
    <w:p w14:paraId="2CDC4B41" w14:textId="37BE69AE" w:rsidR="00EA7B31" w:rsidRDefault="00EA7B31" w:rsidP="00EA7B3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Income Withdrawa</w:t>
      </w:r>
      <w:r w:rsidR="00A23B2F">
        <w:rPr>
          <w:rFonts w:asciiTheme="minorHAnsi" w:hAnsiTheme="minorHAnsi" w:cstheme="minorHAnsi"/>
        </w:rPr>
        <w:t>l:</w:t>
      </w:r>
    </w:p>
    <w:p w14:paraId="1EE91174" w14:textId="69401626" w:rsidR="00A23B2F" w:rsidRDefault="00A23B2F" w:rsidP="00A23B2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Introduced by the Finance Act 2011</w:t>
      </w:r>
    </w:p>
    <w:p w14:paraId="30593481" w14:textId="5D634847" w:rsidR="00A23B2F" w:rsidRDefault="004A3A99" w:rsidP="00A23B2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Available from age 55 (or earlier if protected </w:t>
      </w:r>
      <w:r w:rsidR="002C3548">
        <w:rPr>
          <w:rFonts w:asciiTheme="minorHAnsi" w:hAnsiTheme="minorHAnsi" w:cstheme="minorHAnsi"/>
        </w:rPr>
        <w:t>pension age or ill-health)</w:t>
      </w:r>
    </w:p>
    <w:p w14:paraId="44D8B6A4" w14:textId="6AAA0970" w:rsidR="002C3548" w:rsidRDefault="00BF4ADC" w:rsidP="00A23B2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DC pot remains </w:t>
      </w:r>
      <w:proofErr w:type="gramStart"/>
      <w:r>
        <w:rPr>
          <w:rFonts w:asciiTheme="minorHAnsi" w:hAnsiTheme="minorHAnsi" w:cstheme="minorHAnsi"/>
        </w:rPr>
        <w:t>invested</w:t>
      </w:r>
      <w:proofErr w:type="gramEnd"/>
      <w:r>
        <w:rPr>
          <w:rFonts w:asciiTheme="minorHAnsi" w:hAnsiTheme="minorHAnsi" w:cstheme="minorHAnsi"/>
        </w:rPr>
        <w:t xml:space="preserve"> and member draws income directly from it</w:t>
      </w:r>
    </w:p>
    <w:p w14:paraId="1838F89D" w14:textId="07D6ED73" w:rsidR="00E97B09" w:rsidRDefault="00E97B09" w:rsidP="00A23B2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25% of pot can be taken tax-free at retirement, </w:t>
      </w:r>
      <w:r w:rsidR="0070317E">
        <w:rPr>
          <w:rFonts w:asciiTheme="minorHAnsi" w:hAnsiTheme="minorHAnsi" w:cstheme="minorHAnsi"/>
        </w:rPr>
        <w:t>drawdown payments are subject to Income Tax</w:t>
      </w:r>
    </w:p>
    <w:p w14:paraId="5B5FFC90" w14:textId="423D5771" w:rsidR="009617D9" w:rsidRDefault="009617D9" w:rsidP="00A23B2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 fund tested against Lifetime Allowance, regardless of the amount </w:t>
      </w:r>
      <w:r w:rsidR="00BA7147">
        <w:rPr>
          <w:rFonts w:asciiTheme="minorHAnsi" w:hAnsiTheme="minorHAnsi" w:cstheme="minorHAnsi"/>
        </w:rPr>
        <w:t>drawn from the DC pot</w:t>
      </w:r>
    </w:p>
    <w:p w14:paraId="38AF653E" w14:textId="64B97723" w:rsidR="0070317E" w:rsidRDefault="00CC3C0F" w:rsidP="0070317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Term Annuities:</w:t>
      </w:r>
    </w:p>
    <w:p w14:paraId="53463CEE" w14:textId="77777777" w:rsidR="002F0305" w:rsidRDefault="002F0305" w:rsidP="00CC3C0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2F0305">
        <w:rPr>
          <w:rFonts w:asciiTheme="minorHAnsi" w:hAnsiTheme="minorHAnsi" w:cstheme="minorHAnsi"/>
        </w:rPr>
        <w:t>annuities which pay a set income for a period of up to five years</w:t>
      </w:r>
    </w:p>
    <w:p w14:paraId="4C01478E" w14:textId="77777777" w:rsidR="0067096F" w:rsidRDefault="002F0305" w:rsidP="00CC3C0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2F0305">
        <w:rPr>
          <w:rFonts w:asciiTheme="minorHAnsi" w:hAnsiTheme="minorHAnsi" w:cstheme="minorHAnsi"/>
        </w:rPr>
        <w:t>attractive option for members wishing to ease themselves into retirement by a move to part time working</w:t>
      </w:r>
    </w:p>
    <w:p w14:paraId="3A1C780B" w14:textId="6822E3BB" w:rsidR="00CC3C0F" w:rsidRDefault="002F0305" w:rsidP="00CC3C0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2F0305">
        <w:rPr>
          <w:rFonts w:asciiTheme="minorHAnsi" w:hAnsiTheme="minorHAnsi" w:cstheme="minorHAnsi"/>
        </w:rPr>
        <w:t>may be used in conjunction with drawdown</w:t>
      </w:r>
    </w:p>
    <w:p w14:paraId="1D877246" w14:textId="3E4D2C4C" w:rsidR="0067096F" w:rsidRDefault="0067096F" w:rsidP="0067096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UFPLS:</w:t>
      </w:r>
    </w:p>
    <w:p w14:paraId="31A940A5" w14:textId="280D1300" w:rsidR="0067096F" w:rsidRDefault="0067096F" w:rsidP="0067096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Introduced </w:t>
      </w:r>
      <w:r w:rsidR="007A0575">
        <w:rPr>
          <w:rFonts w:asciiTheme="minorHAnsi" w:hAnsiTheme="minorHAnsi" w:cstheme="minorHAnsi"/>
        </w:rPr>
        <w:t>on 6 April 20154</w:t>
      </w:r>
    </w:p>
    <w:p w14:paraId="189EBFDE" w14:textId="3E21EDF7" w:rsidR="007A0575" w:rsidRDefault="007A0575" w:rsidP="0067096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can take benefits in one go or in small chunks</w:t>
      </w:r>
    </w:p>
    <w:p w14:paraId="36B30542" w14:textId="25391CE3" w:rsidR="007A0575" w:rsidRDefault="006C1AAC" w:rsidP="0067096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first 25% of an UFPLS is tax-free and the balance subject to Income Tax</w:t>
      </w:r>
    </w:p>
    <w:p w14:paraId="1B15E6CA" w14:textId="5099E4A5" w:rsidR="00277DD2" w:rsidRPr="00EA7B31" w:rsidRDefault="00277DD2" w:rsidP="0067096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be taken from </w:t>
      </w:r>
      <w:proofErr w:type="spellStart"/>
      <w:r>
        <w:rPr>
          <w:rFonts w:asciiTheme="minorHAnsi" w:hAnsiTheme="minorHAnsi" w:cstheme="minorHAnsi"/>
        </w:rPr>
        <w:t>uncrystallised</w:t>
      </w:r>
      <w:proofErr w:type="spellEnd"/>
      <w:r>
        <w:rPr>
          <w:rFonts w:asciiTheme="minorHAnsi" w:hAnsiTheme="minorHAnsi" w:cstheme="minorHAnsi"/>
        </w:rPr>
        <w:t xml:space="preserve"> funds (funds not already used to provide retirement benefits)</w:t>
      </w:r>
    </w:p>
    <w:p w14:paraId="1FDC2E0F" w14:textId="77777777" w:rsidR="00AD53F9" w:rsidRPr="002358BF" w:rsidRDefault="00AD53F9" w:rsidP="00CD6CF2">
      <w:pPr>
        <w:ind w:left="720"/>
        <w:rPr>
          <w:rFonts w:asciiTheme="minorHAnsi" w:hAnsiTheme="minorHAnsi" w:cstheme="minorHAnsi"/>
        </w:rPr>
      </w:pPr>
    </w:p>
    <w:p w14:paraId="51861F98" w14:textId="7DF05F22" w:rsidR="00CD6CF2" w:rsidRPr="002358BF" w:rsidRDefault="00EA7B31" w:rsidP="00CD6CF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section of the manual is Part 3 Chapter 3.6.</w:t>
      </w:r>
    </w:p>
    <w:p w14:paraId="67DBB358" w14:textId="7DE602EB" w:rsidR="00CD6CF2" w:rsidRPr="002358BF" w:rsidRDefault="005D0FF8" w:rsidP="005D0F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M</w:t>
      </w:r>
      <w:r w:rsidR="00CD6CF2" w:rsidRPr="002358BF">
        <w:rPr>
          <w:rFonts w:asciiTheme="minorHAnsi" w:hAnsiTheme="minorHAnsi" w:cstheme="minorHAnsi"/>
          <w:b/>
          <w:bCs/>
        </w:rPr>
        <w:t>arks</w:t>
      </w:r>
    </w:p>
    <w:p w14:paraId="55E52D14" w14:textId="38D15728" w:rsidR="00AD53F9" w:rsidRDefault="00AD53F9" w:rsidP="0045225D">
      <w:pPr>
        <w:rPr>
          <w:rFonts w:asciiTheme="minorHAnsi" w:hAnsiTheme="minorHAnsi" w:cstheme="minorHAnsi"/>
        </w:rPr>
      </w:pPr>
    </w:p>
    <w:p w14:paraId="520973F8" w14:textId="77777777" w:rsidR="008435F6" w:rsidRPr="002358BF" w:rsidRDefault="008435F6" w:rsidP="0045225D">
      <w:pPr>
        <w:rPr>
          <w:rFonts w:asciiTheme="minorHAnsi" w:hAnsiTheme="minorHAnsi" w:cstheme="minorHAnsi"/>
        </w:rPr>
      </w:pPr>
    </w:p>
    <w:p w14:paraId="07486725" w14:textId="70050E4B" w:rsidR="005D0FF8" w:rsidRPr="002358BF" w:rsidRDefault="00F369E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List</w:t>
      </w:r>
      <w:r w:rsidR="005D0FF8" w:rsidRPr="002358BF">
        <w:rPr>
          <w:rFonts w:asciiTheme="minorHAnsi" w:hAnsiTheme="minorHAnsi" w:cstheme="minorHAnsi"/>
          <w:b/>
          <w:bCs/>
        </w:rPr>
        <w:t xml:space="preserve"> the types of </w:t>
      </w:r>
      <w:r w:rsidR="00040374">
        <w:rPr>
          <w:rFonts w:asciiTheme="minorHAnsi" w:hAnsiTheme="minorHAnsi" w:cstheme="minorHAnsi"/>
          <w:b/>
          <w:bCs/>
        </w:rPr>
        <w:t xml:space="preserve">administration services that insurance company or </w:t>
      </w:r>
      <w:proofErr w:type="gramStart"/>
      <w:r w:rsidR="00040374">
        <w:rPr>
          <w:rFonts w:asciiTheme="minorHAnsi" w:hAnsiTheme="minorHAnsi" w:cstheme="minorHAnsi"/>
          <w:b/>
          <w:bCs/>
        </w:rPr>
        <w:t>third party</w:t>
      </w:r>
      <w:proofErr w:type="gramEnd"/>
      <w:r w:rsidR="00040374">
        <w:rPr>
          <w:rFonts w:asciiTheme="minorHAnsi" w:hAnsiTheme="minorHAnsi" w:cstheme="minorHAnsi"/>
          <w:b/>
          <w:bCs/>
        </w:rPr>
        <w:t xml:space="preserve"> administrator </w:t>
      </w:r>
      <w:r w:rsidR="00D97A39">
        <w:rPr>
          <w:rFonts w:asciiTheme="minorHAnsi" w:hAnsiTheme="minorHAnsi" w:cstheme="minorHAnsi"/>
          <w:b/>
          <w:bCs/>
        </w:rPr>
        <w:t>can offer</w:t>
      </w:r>
      <w:r w:rsidR="00184DDA">
        <w:rPr>
          <w:rFonts w:asciiTheme="minorHAnsi" w:hAnsiTheme="minorHAnsi" w:cstheme="minorHAnsi"/>
          <w:b/>
          <w:bCs/>
        </w:rPr>
        <w:t xml:space="preserve">, and </w:t>
      </w:r>
      <w:r w:rsidR="007C2D3A">
        <w:rPr>
          <w:rFonts w:asciiTheme="minorHAnsi" w:hAnsiTheme="minorHAnsi" w:cstheme="minorHAnsi"/>
          <w:b/>
          <w:bCs/>
        </w:rPr>
        <w:t xml:space="preserve">how </w:t>
      </w:r>
      <w:r w:rsidR="002D4F53">
        <w:rPr>
          <w:rFonts w:asciiTheme="minorHAnsi" w:hAnsiTheme="minorHAnsi" w:cstheme="minorHAnsi"/>
          <w:b/>
          <w:bCs/>
        </w:rPr>
        <w:t>the cost o</w:t>
      </w:r>
      <w:r w:rsidR="00443B9F">
        <w:rPr>
          <w:rFonts w:asciiTheme="minorHAnsi" w:hAnsiTheme="minorHAnsi" w:cstheme="minorHAnsi"/>
          <w:b/>
          <w:bCs/>
        </w:rPr>
        <w:t>f</w:t>
      </w:r>
      <w:r w:rsidR="002D4F53">
        <w:rPr>
          <w:rFonts w:asciiTheme="minorHAnsi" w:hAnsiTheme="minorHAnsi" w:cstheme="minorHAnsi"/>
          <w:b/>
          <w:bCs/>
        </w:rPr>
        <w:t xml:space="preserve"> these services is charged</w:t>
      </w:r>
      <w:r w:rsidR="005D0FF8" w:rsidRPr="002358BF">
        <w:rPr>
          <w:rFonts w:asciiTheme="minorHAnsi" w:hAnsiTheme="minorHAnsi" w:cstheme="minorHAnsi"/>
          <w:b/>
          <w:bCs/>
        </w:rPr>
        <w:t>.</w:t>
      </w:r>
    </w:p>
    <w:p w14:paraId="290B2E41" w14:textId="77777777" w:rsidR="005D0FF8" w:rsidRPr="002358BF" w:rsidRDefault="005D0FF8" w:rsidP="005D0FF8">
      <w:pPr>
        <w:rPr>
          <w:rFonts w:asciiTheme="minorHAnsi" w:hAnsiTheme="minorHAnsi" w:cstheme="minorHAnsi"/>
          <w:b/>
          <w:bCs/>
        </w:rPr>
      </w:pPr>
    </w:p>
    <w:p w14:paraId="41A983E7" w14:textId="77777777" w:rsidR="005D0FF8" w:rsidRPr="002358BF" w:rsidRDefault="005D0FF8" w:rsidP="008C6431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4694DCAF" w14:textId="25D1B7A3" w:rsidR="00D97A39" w:rsidRPr="00D97A39" w:rsidRDefault="00D97A39" w:rsidP="00D97A39">
      <w:pPr>
        <w:rPr>
          <w:rFonts w:asciiTheme="minorHAnsi" w:hAnsiTheme="minorHAnsi" w:cstheme="minorHAnsi"/>
        </w:rPr>
      </w:pPr>
    </w:p>
    <w:p w14:paraId="0C316796" w14:textId="77777777" w:rsidR="00650951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650951">
        <w:rPr>
          <w:rFonts w:asciiTheme="minorHAnsi" w:hAnsiTheme="minorHAnsi" w:cstheme="minorHAnsi"/>
        </w:rPr>
        <w:t xml:space="preserve">Detailed recording of personal information, </w:t>
      </w:r>
      <w:proofErr w:type="gramStart"/>
      <w:r w:rsidRPr="00650951">
        <w:rPr>
          <w:rFonts w:asciiTheme="minorHAnsi" w:hAnsiTheme="minorHAnsi" w:cstheme="minorHAnsi"/>
        </w:rPr>
        <w:t>benefits</w:t>
      </w:r>
      <w:proofErr w:type="gramEnd"/>
      <w:r w:rsidRPr="00650951">
        <w:rPr>
          <w:rFonts w:asciiTheme="minorHAnsi" w:hAnsiTheme="minorHAnsi" w:cstheme="minorHAnsi"/>
        </w:rPr>
        <w:t xml:space="preserve"> and contributions</w:t>
      </w:r>
    </w:p>
    <w:p w14:paraId="295D8175" w14:textId="77777777" w:rsidR="00650951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650951">
        <w:rPr>
          <w:rFonts w:asciiTheme="minorHAnsi" w:hAnsiTheme="minorHAnsi" w:cstheme="minorHAnsi"/>
        </w:rPr>
        <w:t xml:space="preserve">Preparation of correspondence, having due regard to legislation </w:t>
      </w:r>
    </w:p>
    <w:p w14:paraId="71481C5E" w14:textId="77777777" w:rsidR="00650951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650951">
        <w:rPr>
          <w:rFonts w:asciiTheme="minorHAnsi" w:hAnsiTheme="minorHAnsi" w:cstheme="minorHAnsi"/>
        </w:rPr>
        <w:t xml:space="preserve">Handling of new entrants, deaths, </w:t>
      </w:r>
      <w:proofErr w:type="gramStart"/>
      <w:r w:rsidRPr="00650951">
        <w:rPr>
          <w:rFonts w:asciiTheme="minorHAnsi" w:hAnsiTheme="minorHAnsi" w:cstheme="minorHAnsi"/>
        </w:rPr>
        <w:t>leavers</w:t>
      </w:r>
      <w:proofErr w:type="gramEnd"/>
      <w:r w:rsidRPr="00650951">
        <w:rPr>
          <w:rFonts w:asciiTheme="minorHAnsi" w:hAnsiTheme="minorHAnsi" w:cstheme="minorHAnsi"/>
        </w:rPr>
        <w:t xml:space="preserve"> and retirements</w:t>
      </w:r>
    </w:p>
    <w:p w14:paraId="6E8B10D1" w14:textId="792DE8C7" w:rsidR="00D97A39" w:rsidRPr="00650951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650951">
        <w:rPr>
          <w:rFonts w:asciiTheme="minorHAnsi" w:hAnsiTheme="minorHAnsi" w:cstheme="minorHAnsi"/>
        </w:rPr>
        <w:t xml:space="preserve">Calculation and payment of benefits </w:t>
      </w:r>
    </w:p>
    <w:p w14:paraId="68110D4C" w14:textId="64ED6C85" w:rsidR="00D97A39" w:rsidRPr="00D97A39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D97A39">
        <w:rPr>
          <w:rFonts w:asciiTheme="minorHAnsi" w:hAnsiTheme="minorHAnsi" w:cstheme="minorHAnsi"/>
        </w:rPr>
        <w:t>Maintenance of membership records</w:t>
      </w:r>
    </w:p>
    <w:p w14:paraId="713801AF" w14:textId="712A092C" w:rsidR="00D97A39" w:rsidRPr="00D97A39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D97A39">
        <w:rPr>
          <w:rFonts w:asciiTheme="minorHAnsi" w:hAnsiTheme="minorHAnsi" w:cstheme="minorHAnsi"/>
        </w:rPr>
        <w:t>Execution of contracted out procedures and making reports to HMRC</w:t>
      </w:r>
    </w:p>
    <w:p w14:paraId="0CA5980E" w14:textId="70BF0AE8" w:rsidR="00D97A39" w:rsidRPr="00D97A39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D97A39">
        <w:rPr>
          <w:rFonts w:asciiTheme="minorHAnsi" w:hAnsiTheme="minorHAnsi" w:cstheme="minorHAnsi"/>
        </w:rPr>
        <w:t>Provision of banking and pension payroll services</w:t>
      </w:r>
    </w:p>
    <w:p w14:paraId="65AEFF44" w14:textId="17DE8136" w:rsidR="0089660B" w:rsidRDefault="00D97A39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D97A39">
        <w:rPr>
          <w:rFonts w:asciiTheme="minorHAnsi" w:hAnsiTheme="minorHAnsi" w:cstheme="minorHAnsi"/>
        </w:rPr>
        <w:t>Production of the trustees’ annual report and accounts</w:t>
      </w:r>
    </w:p>
    <w:p w14:paraId="0318F674" w14:textId="4E0FBAAD" w:rsidR="002D4F53" w:rsidRDefault="002D4F53" w:rsidP="006418F4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Implicit cost</w:t>
      </w:r>
      <w:r w:rsidR="00850A15">
        <w:rPr>
          <w:rFonts w:asciiTheme="minorHAnsi" w:hAnsiTheme="minorHAnsi" w:cstheme="minorHAnsi"/>
        </w:rPr>
        <w:t xml:space="preserve">s – a </w:t>
      </w:r>
      <w:r w:rsidR="00650951">
        <w:rPr>
          <w:rFonts w:asciiTheme="minorHAnsi" w:hAnsiTheme="minorHAnsi" w:cstheme="minorHAnsi"/>
        </w:rPr>
        <w:t>l</w:t>
      </w:r>
      <w:r w:rsidR="00850A15">
        <w:rPr>
          <w:rFonts w:asciiTheme="minorHAnsi" w:hAnsiTheme="minorHAnsi" w:cstheme="minorHAnsi"/>
        </w:rPr>
        <w:t>oading in the premium charged under an insured contract</w:t>
      </w:r>
    </w:p>
    <w:p w14:paraId="63968E44" w14:textId="0BF171BE" w:rsidR="00850A15" w:rsidRPr="002D4F53" w:rsidRDefault="00850A15" w:rsidP="006418F4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Explicit costs – fees charged by </w:t>
      </w:r>
      <w:r w:rsidR="00650951">
        <w:rPr>
          <w:rFonts w:asciiTheme="minorHAnsi" w:hAnsiTheme="minorHAnsi" w:cstheme="minorHAnsi"/>
        </w:rPr>
        <w:t>the parties providing the services</w:t>
      </w:r>
    </w:p>
    <w:p w14:paraId="46184D50" w14:textId="77777777" w:rsidR="00D97A39" w:rsidRDefault="00D97A39" w:rsidP="00D97A39">
      <w:pPr>
        <w:ind w:left="360"/>
        <w:rPr>
          <w:rFonts w:asciiTheme="minorHAnsi" w:hAnsiTheme="minorHAnsi" w:cstheme="minorHAnsi"/>
        </w:rPr>
      </w:pPr>
    </w:p>
    <w:p w14:paraId="325D7311" w14:textId="31722A84" w:rsidR="005D0FF8" w:rsidRPr="002358BF" w:rsidRDefault="0089660B" w:rsidP="008C643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Relevant section of the manual is Part 3 Chapter </w:t>
      </w:r>
      <w:r w:rsidR="00040374">
        <w:rPr>
          <w:rFonts w:asciiTheme="minorHAnsi" w:hAnsiTheme="minorHAnsi" w:cstheme="minorHAnsi"/>
        </w:rPr>
        <w:t>6.1.6</w:t>
      </w:r>
      <w:r>
        <w:rPr>
          <w:rFonts w:asciiTheme="minorHAnsi" w:hAnsiTheme="minorHAnsi" w:cstheme="minorHAnsi"/>
        </w:rPr>
        <w:t>.</w:t>
      </w:r>
    </w:p>
    <w:p w14:paraId="616164B2" w14:textId="3F28AC57" w:rsidR="005D0FF8" w:rsidRPr="002358BF" w:rsidRDefault="00184DDA" w:rsidP="005D0FF8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5D0FF8" w:rsidRPr="002358BF">
        <w:rPr>
          <w:rFonts w:asciiTheme="minorHAnsi" w:hAnsiTheme="minorHAnsi" w:cstheme="minorHAnsi"/>
          <w:b/>
          <w:bCs/>
        </w:rPr>
        <w:t xml:space="preserve"> marks</w:t>
      </w:r>
    </w:p>
    <w:p w14:paraId="7060D82D" w14:textId="4FB2D426" w:rsidR="005D0FF8" w:rsidRDefault="005D0FF8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1A819497" w14:textId="782E3613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1FDD7336" w14:textId="0D999F49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59805DA1" w14:textId="2C94C67A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628EF9C1" w14:textId="22104D3D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666FD4C1" w14:textId="6B41E7C5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5A6573D7" w14:textId="0119E1F1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58FD7E11" w14:textId="77777777" w:rsidR="008435F6" w:rsidRPr="002358BF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4E523C8B" w14:textId="111B2E54" w:rsidR="005D0FF8" w:rsidRPr="002358BF" w:rsidRDefault="00981FCC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List the key </w:t>
      </w:r>
      <w:r w:rsidR="00CB2287">
        <w:rPr>
          <w:rFonts w:asciiTheme="minorHAnsi" w:hAnsiTheme="minorHAnsi" w:cstheme="minorHAnsi"/>
          <w:b/>
          <w:bCs/>
        </w:rPr>
        <w:t>requirements when revaluing a member’s deferred benefits under a defined benefit pension scheme</w:t>
      </w:r>
      <w:r w:rsidR="005D0FF8" w:rsidRPr="002358BF">
        <w:rPr>
          <w:rFonts w:asciiTheme="minorHAnsi" w:hAnsiTheme="minorHAnsi" w:cstheme="minorHAnsi"/>
          <w:b/>
          <w:bCs/>
        </w:rPr>
        <w:t>.</w:t>
      </w:r>
    </w:p>
    <w:p w14:paraId="43E986A0" w14:textId="77777777" w:rsidR="005D0FF8" w:rsidRPr="002358BF" w:rsidRDefault="005D0FF8" w:rsidP="005D0FF8">
      <w:pPr>
        <w:rPr>
          <w:rFonts w:asciiTheme="minorHAnsi" w:hAnsiTheme="minorHAnsi" w:cstheme="minorHAnsi"/>
        </w:rPr>
      </w:pPr>
    </w:p>
    <w:p w14:paraId="70DE71B4" w14:textId="77777777" w:rsidR="005D0FF8" w:rsidRPr="002358BF" w:rsidRDefault="005D0FF8" w:rsidP="008C6431">
      <w:pPr>
        <w:ind w:left="720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Answer should cover:</w:t>
      </w:r>
    </w:p>
    <w:p w14:paraId="20BCEE78" w14:textId="77777777" w:rsidR="005D0FF8" w:rsidRPr="002358BF" w:rsidRDefault="005D0FF8" w:rsidP="005D0FF8">
      <w:pPr>
        <w:ind w:left="360"/>
        <w:rPr>
          <w:rFonts w:asciiTheme="minorHAnsi" w:hAnsiTheme="minorHAnsi" w:cstheme="minorHAnsi"/>
        </w:rPr>
      </w:pPr>
    </w:p>
    <w:p w14:paraId="04DFF27A" w14:textId="0048E94F" w:rsidR="00B42FC2" w:rsidRDefault="008435F6" w:rsidP="00B42FC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42FC2" w:rsidRPr="00B42FC2">
        <w:rPr>
          <w:rFonts w:asciiTheme="minorHAnsi" w:hAnsiTheme="minorHAnsi" w:cstheme="minorHAnsi"/>
        </w:rPr>
        <w:t xml:space="preserve">rustees must increase the deferred pension between the date of leaving and retirement </w:t>
      </w:r>
    </w:p>
    <w:p w14:paraId="4E229856" w14:textId="77777777" w:rsidR="002536FE" w:rsidRDefault="00B42FC2" w:rsidP="002536F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2536FE">
        <w:rPr>
          <w:rFonts w:asciiTheme="minorHAnsi" w:hAnsiTheme="minorHAnsi" w:cstheme="minorHAnsi"/>
        </w:rPr>
        <w:t>GMP must be revalued for each complete tax year between ceasing contracted out employment up to GMP payment age or death, if earlier</w:t>
      </w:r>
    </w:p>
    <w:p w14:paraId="7E64DE15" w14:textId="70BAA174" w:rsidR="00B42FC2" w:rsidRPr="002536FE" w:rsidRDefault="00B42FC2" w:rsidP="002536F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2536FE">
        <w:rPr>
          <w:rFonts w:asciiTheme="minorHAnsi" w:hAnsiTheme="minorHAnsi" w:cstheme="minorHAnsi"/>
        </w:rPr>
        <w:t>For members who terminated contracted out employment on or before 5 April 1997, schemes could revalue GMPs using either:</w:t>
      </w:r>
    </w:p>
    <w:p w14:paraId="7EA8C589" w14:textId="050B907A" w:rsidR="00B42FC2" w:rsidRPr="002536FE" w:rsidRDefault="00B42FC2" w:rsidP="002536F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2536FE">
        <w:rPr>
          <w:rFonts w:asciiTheme="minorHAnsi" w:hAnsiTheme="minorHAnsi" w:cstheme="minorHAnsi"/>
        </w:rPr>
        <w:t xml:space="preserve">Section 148 orders (previously called Section 21 orders) </w:t>
      </w:r>
      <w:r w:rsidR="008435F6">
        <w:rPr>
          <w:rFonts w:asciiTheme="minorHAnsi" w:hAnsiTheme="minorHAnsi" w:cstheme="minorHAnsi"/>
        </w:rPr>
        <w:t>-</w:t>
      </w:r>
      <w:r w:rsidRPr="002536FE">
        <w:rPr>
          <w:rFonts w:asciiTheme="minorHAnsi" w:hAnsiTheme="minorHAnsi" w:cstheme="minorHAnsi"/>
        </w:rPr>
        <w:t xml:space="preserve"> known as full rate revaluation </w:t>
      </w:r>
    </w:p>
    <w:p w14:paraId="2BAF06FE" w14:textId="052393D7" w:rsidR="00B42FC2" w:rsidRPr="002536FE" w:rsidRDefault="00B42FC2" w:rsidP="002536F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2536FE">
        <w:rPr>
          <w:rFonts w:asciiTheme="minorHAnsi" w:hAnsiTheme="minorHAnsi" w:cstheme="minorHAnsi"/>
        </w:rPr>
        <w:t xml:space="preserve">A fixed rate </w:t>
      </w:r>
    </w:p>
    <w:p w14:paraId="5CCA1A7E" w14:textId="54C3270F" w:rsidR="006E0205" w:rsidRDefault="00B42FC2" w:rsidP="002536F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2536FE">
        <w:rPr>
          <w:rFonts w:asciiTheme="minorHAnsi" w:hAnsiTheme="minorHAnsi" w:cstheme="minorHAnsi"/>
        </w:rPr>
        <w:t>A limited rate (full rate revaluation capped at 5% a year)</w:t>
      </w:r>
    </w:p>
    <w:p w14:paraId="5DBE41E4" w14:textId="77777777" w:rsidR="008435F6" w:rsidRPr="002536FE" w:rsidRDefault="008435F6" w:rsidP="008435F6">
      <w:pPr>
        <w:pStyle w:val="ListParagraph"/>
        <w:ind w:left="1800" w:firstLine="0"/>
        <w:rPr>
          <w:rFonts w:asciiTheme="minorHAnsi" w:hAnsiTheme="minorHAnsi" w:cstheme="minorHAnsi"/>
        </w:rPr>
      </w:pPr>
    </w:p>
    <w:p w14:paraId="075B66B6" w14:textId="7CD8CC58" w:rsidR="006E0205" w:rsidRPr="002358BF" w:rsidRDefault="006E0205" w:rsidP="008435F6">
      <w:pPr>
        <w:ind w:left="720"/>
        <w:rPr>
          <w:rFonts w:asciiTheme="minorHAnsi" w:hAnsiTheme="minorHAnsi" w:cstheme="minorHAnsi"/>
        </w:rPr>
      </w:pPr>
      <w:r w:rsidRPr="00E128AA">
        <w:rPr>
          <w:rFonts w:asciiTheme="minorHAnsi" w:hAnsiTheme="minorHAnsi" w:cstheme="minorHAnsi"/>
        </w:rPr>
        <w:t xml:space="preserve">Relevant section of the manual is Part 3 Chapter </w:t>
      </w:r>
      <w:r w:rsidR="00CB2287">
        <w:rPr>
          <w:rFonts w:asciiTheme="minorHAnsi" w:hAnsiTheme="minorHAnsi" w:cstheme="minorHAnsi"/>
        </w:rPr>
        <w:t>1.4.2</w:t>
      </w:r>
      <w:r>
        <w:rPr>
          <w:rFonts w:asciiTheme="minorHAnsi" w:hAnsiTheme="minorHAnsi" w:cstheme="minorHAnsi"/>
        </w:rPr>
        <w:t>.</w:t>
      </w:r>
    </w:p>
    <w:p w14:paraId="4A87E8C1" w14:textId="413E16F5" w:rsidR="005D0FF8" w:rsidRPr="002358BF" w:rsidRDefault="005D0FF8" w:rsidP="005D0FF8">
      <w:pPr>
        <w:ind w:left="8640" w:firstLine="72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sectPr w:rsidR="005D0FF8" w:rsidRPr="002358BF" w:rsidSect="005D0FF8">
      <w:headerReference w:type="default" r:id="rId7"/>
      <w:footerReference w:type="default" r:id="rId8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5AEB" w14:textId="77777777" w:rsidR="009401D2" w:rsidRDefault="009401D2">
      <w:r>
        <w:separator/>
      </w:r>
    </w:p>
  </w:endnote>
  <w:endnote w:type="continuationSeparator" w:id="0">
    <w:p w14:paraId="673AF413" w14:textId="77777777" w:rsidR="009401D2" w:rsidRDefault="009401D2">
      <w:r>
        <w:continuationSeparator/>
      </w:r>
    </w:p>
  </w:endnote>
  <w:endnote w:type="continuationNotice" w:id="1">
    <w:p w14:paraId="6CFC77BF" w14:textId="77777777" w:rsidR="001B7573" w:rsidRDefault="001B7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1F16E8B2" w:rsidR="00AD53F9" w:rsidRDefault="00AD53F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1370" w14:textId="77777777" w:rsidR="009401D2" w:rsidRDefault="009401D2">
      <w:r>
        <w:separator/>
      </w:r>
    </w:p>
  </w:footnote>
  <w:footnote w:type="continuationSeparator" w:id="0">
    <w:p w14:paraId="7810C041" w14:textId="77777777" w:rsidR="009401D2" w:rsidRDefault="009401D2">
      <w:r>
        <w:continuationSeparator/>
      </w:r>
    </w:p>
  </w:footnote>
  <w:footnote w:type="continuationNotice" w:id="1">
    <w:p w14:paraId="004FEBE0" w14:textId="77777777" w:rsidR="001B7573" w:rsidRDefault="001B7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2E6" w14:textId="746DCC85" w:rsidR="009454B6" w:rsidRDefault="009454B6" w:rsidP="009454B6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1F46FE2" wp14:editId="3741DAA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1CB71F6" w14:textId="77777777" w:rsidR="009454B6" w:rsidRDefault="009454B6" w:rsidP="009454B6">
    <w:pPr>
      <w:jc w:val="right"/>
      <w:rPr>
        <w:b/>
        <w:bCs/>
      </w:rPr>
    </w:pPr>
    <w:r>
      <w:t xml:space="preserve">60 Goswell Road </w:t>
    </w:r>
  </w:p>
  <w:p w14:paraId="64DFC1E2" w14:textId="77777777" w:rsidR="009454B6" w:rsidRDefault="009454B6" w:rsidP="009454B6">
    <w:pPr>
      <w:jc w:val="right"/>
      <w:rPr>
        <w:b/>
        <w:bCs/>
      </w:rPr>
    </w:pPr>
    <w:r>
      <w:t xml:space="preserve">London </w:t>
    </w:r>
  </w:p>
  <w:p w14:paraId="771DDAEF" w14:textId="77777777" w:rsidR="009454B6" w:rsidRDefault="009454B6" w:rsidP="009454B6">
    <w:pPr>
      <w:jc w:val="right"/>
      <w:rPr>
        <w:b/>
        <w:bCs/>
      </w:rPr>
    </w:pPr>
    <w:r>
      <w:t xml:space="preserve">EC1M 7AD </w:t>
    </w:r>
  </w:p>
  <w:p w14:paraId="4F64E8E0" w14:textId="77777777" w:rsidR="009454B6" w:rsidRDefault="009454B6" w:rsidP="009454B6">
    <w:pPr>
      <w:jc w:val="right"/>
      <w:rPr>
        <w:b/>
        <w:bCs/>
      </w:rPr>
    </w:pPr>
    <w:r>
      <w:t xml:space="preserve">T: +44 (0) 20 7247 1452 </w:t>
    </w:r>
  </w:p>
  <w:p w14:paraId="6D46C27F" w14:textId="77777777" w:rsidR="009454B6" w:rsidRDefault="009454B6" w:rsidP="009454B6">
    <w:pPr>
      <w:jc w:val="right"/>
      <w:rPr>
        <w:b/>
        <w:bCs/>
      </w:rPr>
    </w:pPr>
    <w:r>
      <w:t>W: www.pensions-pmi.org.uk</w:t>
    </w:r>
  </w:p>
  <w:p w14:paraId="6B90196B" w14:textId="24E6269E" w:rsidR="00AD53F9" w:rsidRPr="00CD6CF2" w:rsidRDefault="00AD53F9" w:rsidP="00CD6C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E57"/>
    <w:multiLevelType w:val="hybridMultilevel"/>
    <w:tmpl w:val="7CCC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5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54980"/>
    <w:multiLevelType w:val="hybridMultilevel"/>
    <w:tmpl w:val="0040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95E26"/>
    <w:multiLevelType w:val="hybridMultilevel"/>
    <w:tmpl w:val="A5D2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A734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0411DC"/>
    <w:multiLevelType w:val="hybridMultilevel"/>
    <w:tmpl w:val="C7B4D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2" w15:restartNumberingAfterBreak="0">
    <w:nsid w:val="7CFF10D2"/>
    <w:multiLevelType w:val="hybridMultilevel"/>
    <w:tmpl w:val="593A9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0"/>
  </w:num>
  <w:num w:numId="5">
    <w:abstractNumId w:val="1"/>
  </w:num>
  <w:num w:numId="6">
    <w:abstractNumId w:val="17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 w:numId="20">
    <w:abstractNumId w:val="8"/>
  </w:num>
  <w:num w:numId="21">
    <w:abstractNumId w:val="5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11224"/>
    <w:rsid w:val="00040374"/>
    <w:rsid w:val="00052EEF"/>
    <w:rsid w:val="00062B50"/>
    <w:rsid w:val="00063A50"/>
    <w:rsid w:val="001179B6"/>
    <w:rsid w:val="00117A09"/>
    <w:rsid w:val="00184DDA"/>
    <w:rsid w:val="001B7573"/>
    <w:rsid w:val="0023039A"/>
    <w:rsid w:val="002358BF"/>
    <w:rsid w:val="00243E93"/>
    <w:rsid w:val="002536FE"/>
    <w:rsid w:val="00277D1F"/>
    <w:rsid w:val="00277DD2"/>
    <w:rsid w:val="002C3548"/>
    <w:rsid w:val="002D4F53"/>
    <w:rsid w:val="002D51D0"/>
    <w:rsid w:val="002E6A20"/>
    <w:rsid w:val="002F0305"/>
    <w:rsid w:val="002F6032"/>
    <w:rsid w:val="003318DD"/>
    <w:rsid w:val="00390C15"/>
    <w:rsid w:val="003E48D3"/>
    <w:rsid w:val="0042297C"/>
    <w:rsid w:val="00443B9F"/>
    <w:rsid w:val="0045225D"/>
    <w:rsid w:val="00472E8F"/>
    <w:rsid w:val="004A3A99"/>
    <w:rsid w:val="004E51B2"/>
    <w:rsid w:val="00524303"/>
    <w:rsid w:val="00524E57"/>
    <w:rsid w:val="005271A3"/>
    <w:rsid w:val="00542ED7"/>
    <w:rsid w:val="0055312F"/>
    <w:rsid w:val="005D0FF8"/>
    <w:rsid w:val="005F07A6"/>
    <w:rsid w:val="005F2F9D"/>
    <w:rsid w:val="00634562"/>
    <w:rsid w:val="006418F4"/>
    <w:rsid w:val="00650951"/>
    <w:rsid w:val="00655307"/>
    <w:rsid w:val="0067096F"/>
    <w:rsid w:val="00691F4F"/>
    <w:rsid w:val="006C1AAC"/>
    <w:rsid w:val="006E0205"/>
    <w:rsid w:val="0070317E"/>
    <w:rsid w:val="00791ACB"/>
    <w:rsid w:val="007A0575"/>
    <w:rsid w:val="007A4CC8"/>
    <w:rsid w:val="007C2D3A"/>
    <w:rsid w:val="007C7F7F"/>
    <w:rsid w:val="007F041A"/>
    <w:rsid w:val="0080329E"/>
    <w:rsid w:val="008119E1"/>
    <w:rsid w:val="008168AB"/>
    <w:rsid w:val="008435F6"/>
    <w:rsid w:val="00850A15"/>
    <w:rsid w:val="0089660B"/>
    <w:rsid w:val="008A765E"/>
    <w:rsid w:val="008C6431"/>
    <w:rsid w:val="008C7286"/>
    <w:rsid w:val="00902163"/>
    <w:rsid w:val="009249B8"/>
    <w:rsid w:val="00934F4D"/>
    <w:rsid w:val="009401D2"/>
    <w:rsid w:val="009454B6"/>
    <w:rsid w:val="009617D9"/>
    <w:rsid w:val="00981FCC"/>
    <w:rsid w:val="009A1B2B"/>
    <w:rsid w:val="009D5A04"/>
    <w:rsid w:val="00A046FD"/>
    <w:rsid w:val="00A23B2F"/>
    <w:rsid w:val="00AA4DFB"/>
    <w:rsid w:val="00AD53F9"/>
    <w:rsid w:val="00B42FC2"/>
    <w:rsid w:val="00BA7147"/>
    <w:rsid w:val="00BF4ADC"/>
    <w:rsid w:val="00C301D3"/>
    <w:rsid w:val="00C53080"/>
    <w:rsid w:val="00C8151B"/>
    <w:rsid w:val="00CB2287"/>
    <w:rsid w:val="00CC3C0F"/>
    <w:rsid w:val="00CD6CF2"/>
    <w:rsid w:val="00D629BA"/>
    <w:rsid w:val="00D97A39"/>
    <w:rsid w:val="00DA3354"/>
    <w:rsid w:val="00E128AA"/>
    <w:rsid w:val="00E97B09"/>
    <w:rsid w:val="00EA7B31"/>
    <w:rsid w:val="00EB068E"/>
    <w:rsid w:val="00EE3E3F"/>
    <w:rsid w:val="00F33867"/>
    <w:rsid w:val="00F369E8"/>
    <w:rsid w:val="00F5290A"/>
    <w:rsid w:val="00F65243"/>
    <w:rsid w:val="00F908D2"/>
    <w:rsid w:val="00F94EC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Mohamed Alim Uddin</cp:lastModifiedBy>
  <cp:revision>92</cp:revision>
  <dcterms:created xsi:type="dcterms:W3CDTF">2021-11-13T10:01:00Z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