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765EE716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 xml:space="preserve">Assignment </w:t>
      </w:r>
      <w:r w:rsidR="00375070">
        <w:rPr>
          <w:sz w:val="28"/>
        </w:rPr>
        <w:t>4</w:t>
      </w:r>
      <w:r>
        <w:rPr>
          <w:sz w:val="28"/>
        </w:rPr>
        <w:t xml:space="preserve"> Notes</w:t>
      </w:r>
    </w:p>
    <w:p w14:paraId="38C10F22" w14:textId="4F87A751" w:rsidR="00C344E3" w:rsidRDefault="00375070" w:rsidP="00375070">
      <w:pPr>
        <w:pStyle w:val="BodyText"/>
        <w:spacing w:before="8"/>
        <w:jc w:val="center"/>
        <w:rPr>
          <w:i/>
        </w:rPr>
      </w:pPr>
      <w:r>
        <w:rPr>
          <w:i/>
        </w:rPr>
        <w:t>(Part 5 – Governance Requirements and Part 6 – Current Issues)</w:t>
      </w:r>
    </w:p>
    <w:p w14:paraId="222A9C94" w14:textId="77777777" w:rsidR="00375070" w:rsidRDefault="00375070" w:rsidP="00375070">
      <w:pPr>
        <w:pStyle w:val="BodyText"/>
        <w:spacing w:before="8"/>
        <w:rPr>
          <w:i/>
          <w:sz w:val="20"/>
        </w:rPr>
      </w:pPr>
    </w:p>
    <w:p w14:paraId="616E5155" w14:textId="77777777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0331CBE" w14:textId="77777777" w:rsidR="00C344E3" w:rsidRDefault="00C344E3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37A8C92F" w:rsidR="00C344E3" w:rsidRDefault="00375070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Outline the structure of a Defined Contribution bundled arrangement, including </w:t>
      </w:r>
      <w:r w:rsidR="00815621">
        <w:t>some of its</w:t>
      </w:r>
      <w:r>
        <w:t xml:space="preserve"> advantages and disadvantages</w:t>
      </w:r>
      <w:r w:rsidR="000E6648">
        <w:t>.</w:t>
      </w:r>
    </w:p>
    <w:p w14:paraId="17CCD11A" w14:textId="135904D0" w:rsidR="00C344E3" w:rsidRPr="00EC5327" w:rsidRDefault="002E547D" w:rsidP="00EC5327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</w:p>
    <w:p w14:paraId="277E98CE" w14:textId="77777777" w:rsidR="00C344E3" w:rsidRDefault="00C739BD">
      <w:pPr>
        <w:pStyle w:val="BodyText"/>
        <w:spacing w:before="64"/>
        <w:ind w:left="527"/>
      </w:pPr>
      <w:r>
        <w:t>Answer should cover:</w:t>
      </w:r>
    </w:p>
    <w:p w14:paraId="3EB8DFD1" w14:textId="77777777" w:rsidR="00C344E3" w:rsidRDefault="00C344E3">
      <w:pPr>
        <w:pStyle w:val="BodyText"/>
        <w:spacing w:before="11"/>
        <w:rPr>
          <w:sz w:val="17"/>
        </w:rPr>
      </w:pPr>
    </w:p>
    <w:p w14:paraId="2778815D" w14:textId="6FDB8A64" w:rsidR="000E6648" w:rsidRDefault="00815621" w:rsidP="000E6648">
      <w:pPr>
        <w:pStyle w:val="BodyText"/>
        <w:numPr>
          <w:ilvl w:val="0"/>
          <w:numId w:val="5"/>
        </w:numPr>
        <w:spacing w:before="11"/>
      </w:pPr>
      <w:r>
        <w:t>Bundled DC arrangement (include 3 from the following)</w:t>
      </w:r>
      <w:r w:rsidR="000E6648">
        <w:t>:</w:t>
      </w:r>
    </w:p>
    <w:p w14:paraId="6C153BB9" w14:textId="18115A5C" w:rsidR="000E6648" w:rsidRDefault="00815621" w:rsidP="000E6648">
      <w:pPr>
        <w:pStyle w:val="BodyText"/>
        <w:numPr>
          <w:ilvl w:val="1"/>
          <w:numId w:val="5"/>
        </w:numPr>
        <w:spacing w:before="11"/>
      </w:pPr>
      <w:r>
        <w:t xml:space="preserve">Can be used for trust-based or contract-based workplace pension </w:t>
      </w:r>
      <w:proofErr w:type="gramStart"/>
      <w:r>
        <w:t>schemes</w:t>
      </w:r>
      <w:r w:rsidR="000E6648">
        <w:t>;</w:t>
      </w:r>
      <w:proofErr w:type="gramEnd"/>
    </w:p>
    <w:p w14:paraId="32AA1F05" w14:textId="2341F053" w:rsidR="000E6648" w:rsidRDefault="00815621" w:rsidP="000E6648">
      <w:pPr>
        <w:pStyle w:val="BodyText"/>
        <w:numPr>
          <w:ilvl w:val="1"/>
          <w:numId w:val="5"/>
        </w:numPr>
        <w:spacing w:before="11"/>
      </w:pPr>
      <w:r>
        <w:t xml:space="preserve">The services provided to the scheme are all provided by a single </w:t>
      </w:r>
      <w:proofErr w:type="gramStart"/>
      <w:r>
        <w:t>provider</w:t>
      </w:r>
      <w:r w:rsidR="000E6648">
        <w:t>;</w:t>
      </w:r>
      <w:proofErr w:type="gramEnd"/>
    </w:p>
    <w:p w14:paraId="58919F95" w14:textId="3FB40DFE" w:rsidR="000E6648" w:rsidRDefault="00815621" w:rsidP="000E6648">
      <w:pPr>
        <w:pStyle w:val="BodyText"/>
        <w:numPr>
          <w:ilvl w:val="1"/>
          <w:numId w:val="5"/>
        </w:numPr>
        <w:spacing w:before="11"/>
      </w:pPr>
      <w:r>
        <w:t xml:space="preserve">Includes administration, investment advice and scheme </w:t>
      </w:r>
      <w:proofErr w:type="gramStart"/>
      <w:r>
        <w:t>communications</w:t>
      </w:r>
      <w:r w:rsidR="000E6648">
        <w:t>;</w:t>
      </w:r>
      <w:proofErr w:type="gramEnd"/>
    </w:p>
    <w:p w14:paraId="6C85C835" w14:textId="05C9A09F" w:rsidR="000E6648" w:rsidRDefault="00815621" w:rsidP="000E6648">
      <w:pPr>
        <w:pStyle w:val="BodyText"/>
        <w:numPr>
          <w:ilvl w:val="1"/>
          <w:numId w:val="5"/>
        </w:numPr>
        <w:spacing w:before="11"/>
      </w:pPr>
      <w:r>
        <w:t>Typically, all provider charges are borne by the members through an annual management charge</w:t>
      </w:r>
      <w:r w:rsidR="000E6648">
        <w:t>.</w:t>
      </w:r>
    </w:p>
    <w:p w14:paraId="57BA0D48" w14:textId="7637E44A" w:rsidR="00815621" w:rsidRDefault="00815621" w:rsidP="00815621">
      <w:pPr>
        <w:pStyle w:val="BodyText"/>
        <w:numPr>
          <w:ilvl w:val="0"/>
          <w:numId w:val="5"/>
        </w:numPr>
        <w:spacing w:before="11"/>
      </w:pPr>
      <w:r>
        <w:t>Advantages (include 5 from the following):</w:t>
      </w:r>
    </w:p>
    <w:p w14:paraId="179C6038" w14:textId="5ADD3114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 xml:space="preserve">One point of contact for the employer to </w:t>
      </w:r>
      <w:proofErr w:type="gramStart"/>
      <w:r>
        <w:t>manage;</w:t>
      </w:r>
      <w:proofErr w:type="gramEnd"/>
    </w:p>
    <w:p w14:paraId="65240EBF" w14:textId="49554B0B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 xml:space="preserve">Cross-team relationships already exist, for example between administration, investment and communication </w:t>
      </w:r>
      <w:proofErr w:type="gramStart"/>
      <w:r>
        <w:t>teams;</w:t>
      </w:r>
      <w:proofErr w:type="gramEnd"/>
    </w:p>
    <w:p w14:paraId="33569D63" w14:textId="062E61A4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 xml:space="preserve">With one provider, online access is made easier for members who have only one system/website to refer </w:t>
      </w:r>
      <w:proofErr w:type="gramStart"/>
      <w:r>
        <w:t>to;</w:t>
      </w:r>
      <w:proofErr w:type="gramEnd"/>
    </w:p>
    <w:p w14:paraId="3C6484CE" w14:textId="4EBAA8FE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 xml:space="preserve">Easier to facilitate a negotiation of </w:t>
      </w:r>
      <w:proofErr w:type="gramStart"/>
      <w:r>
        <w:t>terms;</w:t>
      </w:r>
      <w:proofErr w:type="gramEnd"/>
    </w:p>
    <w:p w14:paraId="69F1F45C" w14:textId="71368F73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 xml:space="preserve">Use of the provider’s standard communications to </w:t>
      </w:r>
      <w:proofErr w:type="gramStart"/>
      <w:r>
        <w:t>members;</w:t>
      </w:r>
      <w:proofErr w:type="gramEnd"/>
    </w:p>
    <w:p w14:paraId="552A2C5B" w14:textId="22A2D019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 xml:space="preserve">Providers can produce management information reports on a quarterly/annual </w:t>
      </w:r>
      <w:proofErr w:type="gramStart"/>
      <w:r>
        <w:t>basis;</w:t>
      </w:r>
      <w:proofErr w:type="gramEnd"/>
    </w:p>
    <w:p w14:paraId="1CE0BD4D" w14:textId="445D417E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>No cost to the employer as costs borne by the members through the annual management charge.</w:t>
      </w:r>
    </w:p>
    <w:p w14:paraId="369E93DE" w14:textId="73A25275" w:rsidR="00815621" w:rsidRDefault="00815621" w:rsidP="00815621">
      <w:pPr>
        <w:pStyle w:val="BodyText"/>
        <w:numPr>
          <w:ilvl w:val="0"/>
          <w:numId w:val="5"/>
        </w:numPr>
        <w:spacing w:before="11"/>
      </w:pPr>
      <w:r>
        <w:t>Disadvantages (include 2 from the following):</w:t>
      </w:r>
    </w:p>
    <w:p w14:paraId="570C4B24" w14:textId="24C9074C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 xml:space="preserve">It may be more expensive to members in the longer term than unbundling – the AMC is higher for the use of more </w:t>
      </w:r>
      <w:proofErr w:type="gramStart"/>
      <w:r>
        <w:t>services;</w:t>
      </w:r>
      <w:proofErr w:type="gramEnd"/>
    </w:p>
    <w:p w14:paraId="1907695C" w14:textId="4C87C00A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>A bundled arrangement may require compromise, as the provider may be best-of-breed in one area and not in another (for example, a provider may show strength in administration, but may not have a strong communications capability</w:t>
      </w:r>
      <w:proofErr w:type="gramStart"/>
      <w:r>
        <w:t>);</w:t>
      </w:r>
      <w:proofErr w:type="gramEnd"/>
    </w:p>
    <w:p w14:paraId="2AE88E0F" w14:textId="5D7171C4" w:rsidR="00815621" w:rsidRDefault="00815621" w:rsidP="00815621">
      <w:pPr>
        <w:pStyle w:val="BodyText"/>
        <w:numPr>
          <w:ilvl w:val="1"/>
          <w:numId w:val="5"/>
        </w:numPr>
        <w:spacing w:before="11"/>
      </w:pPr>
      <w:r>
        <w:t>There can be limitations on tailoring the scheme (i.e., communication materials).</w:t>
      </w:r>
    </w:p>
    <w:p w14:paraId="52889141" w14:textId="77777777" w:rsidR="002E547D" w:rsidRDefault="002E547D" w:rsidP="002E547D">
      <w:pPr>
        <w:pStyle w:val="BodyText"/>
        <w:spacing w:before="11"/>
        <w:ind w:left="1440"/>
        <w:rPr>
          <w:sz w:val="21"/>
        </w:rPr>
      </w:pPr>
    </w:p>
    <w:p w14:paraId="013B62C0" w14:textId="4BDFEEBA" w:rsidR="00C344E3" w:rsidRDefault="00C739BD" w:rsidP="002D6DB9">
      <w:pPr>
        <w:pStyle w:val="BodyText"/>
        <w:ind w:left="527"/>
      </w:pPr>
      <w:r>
        <w:t xml:space="preserve">(Relevant section of the manual is Part </w:t>
      </w:r>
      <w:r w:rsidR="00375070">
        <w:t>5</w:t>
      </w:r>
      <w:r>
        <w:t xml:space="preserve"> Chapter 1.</w:t>
      </w:r>
      <w:r w:rsidR="00375070">
        <w:t>2.5</w:t>
      </w:r>
      <w:r w:rsidR="000E6648">
        <w:t>)</w:t>
      </w:r>
    </w:p>
    <w:p w14:paraId="38B92CA7" w14:textId="77777777" w:rsidR="002D6DB9" w:rsidRDefault="002D6DB9" w:rsidP="002D6DB9">
      <w:pPr>
        <w:pStyle w:val="BodyText"/>
        <w:ind w:left="527"/>
        <w:rPr>
          <w:sz w:val="19"/>
        </w:rPr>
      </w:pPr>
    </w:p>
    <w:p w14:paraId="5E4815B2" w14:textId="068DAB8F" w:rsidR="00C344E3" w:rsidRDefault="00FD36A0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 xml:space="preserve">From 1 June 2013, trustees and advisers of pension schemes entering the PPF are expected to implement the PPF methodology for </w:t>
      </w:r>
      <w:proofErr w:type="spellStart"/>
      <w:r>
        <w:t>equalising</w:t>
      </w:r>
      <w:proofErr w:type="spellEnd"/>
      <w:r>
        <w:t xml:space="preserve"> scheme benefits for the effect of GMPs.  Briefly outline some of the implementation issues that will need to be addressed</w:t>
      </w:r>
      <w:r w:rsidR="00C739BD">
        <w:t>.</w:t>
      </w:r>
    </w:p>
    <w:p w14:paraId="43F72945" w14:textId="490CAE10" w:rsidR="00C344E3" w:rsidRPr="00EC5327" w:rsidRDefault="00C739BD" w:rsidP="00EC5327">
      <w:pPr>
        <w:spacing w:line="219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 marks</w:t>
      </w:r>
    </w:p>
    <w:p w14:paraId="7BF70EA2" w14:textId="77777777" w:rsidR="00C344E3" w:rsidRDefault="00C739BD">
      <w:pPr>
        <w:pStyle w:val="BodyText"/>
        <w:spacing w:before="64"/>
        <w:ind w:left="527"/>
      </w:pPr>
      <w:r>
        <w:t>Answer should cover:</w:t>
      </w:r>
    </w:p>
    <w:p w14:paraId="4FF9637F" w14:textId="77777777" w:rsidR="00C344E3" w:rsidRDefault="00C344E3">
      <w:pPr>
        <w:pStyle w:val="BodyText"/>
        <w:spacing w:before="9"/>
        <w:rPr>
          <w:sz w:val="17"/>
        </w:rPr>
      </w:pPr>
    </w:p>
    <w:p w14:paraId="57C90AF9" w14:textId="203D16F9" w:rsidR="00FD36A0" w:rsidRDefault="00FD36A0" w:rsidP="00FD36A0">
      <w:pPr>
        <w:pStyle w:val="BodyText"/>
        <w:numPr>
          <w:ilvl w:val="0"/>
          <w:numId w:val="7"/>
        </w:numPr>
        <w:spacing w:before="11"/>
      </w:pPr>
      <w:r>
        <w:t xml:space="preserve">Missing members - many members who are affected by this have already died, retired, transferred out, divorced or been bought </w:t>
      </w:r>
      <w:proofErr w:type="gramStart"/>
      <w:r>
        <w:t>out;</w:t>
      </w:r>
      <w:proofErr w:type="gramEnd"/>
    </w:p>
    <w:p w14:paraId="22050C11" w14:textId="413AA35C" w:rsidR="00FD36A0" w:rsidRDefault="00FD36A0" w:rsidP="00FD36A0">
      <w:pPr>
        <w:pStyle w:val="BodyText"/>
        <w:numPr>
          <w:ilvl w:val="0"/>
          <w:numId w:val="7"/>
        </w:numPr>
        <w:spacing w:before="11"/>
      </w:pPr>
      <w:r>
        <w:t xml:space="preserve">As a minimum that means going back over records for many years and often actively tracking down members with whom they have lost </w:t>
      </w:r>
      <w:proofErr w:type="gramStart"/>
      <w:r>
        <w:t>contact;</w:t>
      </w:r>
      <w:proofErr w:type="gramEnd"/>
    </w:p>
    <w:p w14:paraId="59D78132" w14:textId="4D9D37DB" w:rsidR="00FD36A0" w:rsidRDefault="00FD36A0" w:rsidP="00FD36A0">
      <w:pPr>
        <w:pStyle w:val="BodyText"/>
        <w:numPr>
          <w:ilvl w:val="0"/>
          <w:numId w:val="7"/>
        </w:numPr>
        <w:spacing w:before="11"/>
      </w:pPr>
      <w:r>
        <w:t xml:space="preserve">Unknown GMPs - many schemes do not know the exact GMPs they have. Before schemes can </w:t>
      </w:r>
      <w:proofErr w:type="spellStart"/>
      <w:r>
        <w:t>equalise</w:t>
      </w:r>
      <w:proofErr w:type="spellEnd"/>
      <w:r>
        <w:t xml:space="preserve"> benefits, they need accurate </w:t>
      </w:r>
      <w:proofErr w:type="gramStart"/>
      <w:r>
        <w:t>records;</w:t>
      </w:r>
      <w:proofErr w:type="gramEnd"/>
    </w:p>
    <w:p w14:paraId="5393D2A3" w14:textId="593832F7" w:rsidR="00FD36A0" w:rsidRDefault="00FD36A0" w:rsidP="00FD36A0">
      <w:pPr>
        <w:pStyle w:val="BodyText"/>
        <w:numPr>
          <w:ilvl w:val="0"/>
          <w:numId w:val="7"/>
        </w:numPr>
        <w:spacing w:before="11"/>
      </w:pPr>
      <w:r>
        <w:t xml:space="preserve">Cost - regardless of the exact method of equalization used, adviser fees will arise at a time when many schemes are trying to reduce </w:t>
      </w:r>
      <w:proofErr w:type="gramStart"/>
      <w:r>
        <w:t>fees;</w:t>
      </w:r>
      <w:proofErr w:type="gramEnd"/>
    </w:p>
    <w:p w14:paraId="26B3B8D8" w14:textId="0A251DB1" w:rsidR="00C344E3" w:rsidRPr="00FD36A0" w:rsidRDefault="00FD36A0" w:rsidP="00FD36A0">
      <w:pPr>
        <w:pStyle w:val="BodyText"/>
        <w:numPr>
          <w:ilvl w:val="0"/>
          <w:numId w:val="7"/>
        </w:numPr>
        <w:spacing w:before="11"/>
        <w:rPr>
          <w:sz w:val="19"/>
        </w:rPr>
      </w:pPr>
      <w:r>
        <w:t xml:space="preserve">Communication - explaining </w:t>
      </w:r>
      <w:proofErr w:type="spellStart"/>
      <w:r>
        <w:t>equalisation</w:t>
      </w:r>
      <w:proofErr w:type="spellEnd"/>
      <w:r>
        <w:t xml:space="preserve"> and any amendments to scheme benefits will require communication with members. </w:t>
      </w:r>
    </w:p>
    <w:p w14:paraId="38C71748" w14:textId="77777777" w:rsidR="002D6DB9" w:rsidRDefault="002D6DB9">
      <w:pPr>
        <w:pStyle w:val="BodyText"/>
        <w:ind w:left="527"/>
      </w:pPr>
    </w:p>
    <w:p w14:paraId="57C7090A" w14:textId="6A8F02F5" w:rsidR="00C344E3" w:rsidRDefault="00AB46AC">
      <w:pPr>
        <w:pStyle w:val="BodyText"/>
        <w:ind w:left="527"/>
      </w:pPr>
      <w:r>
        <w:t>(</w:t>
      </w:r>
      <w:r w:rsidR="00C739BD">
        <w:t xml:space="preserve">Relevant section of the manual is Part </w:t>
      </w:r>
      <w:r w:rsidR="00FD36A0">
        <w:t>6</w:t>
      </w:r>
      <w:r w:rsidR="00C739BD">
        <w:t xml:space="preserve"> Chapter 1</w:t>
      </w:r>
      <w:r w:rsidR="002D6DB9">
        <w:t>.</w:t>
      </w:r>
      <w:r w:rsidR="00FD36A0">
        <w:t>2.7</w:t>
      </w:r>
      <w:r w:rsidR="002D6DB9">
        <w:t>)</w:t>
      </w:r>
    </w:p>
    <w:p w14:paraId="0B7152F0" w14:textId="77777777" w:rsidR="00B11469" w:rsidRDefault="00B11469">
      <w:pPr>
        <w:pStyle w:val="BodyText"/>
        <w:ind w:left="527"/>
      </w:pPr>
    </w:p>
    <w:p w14:paraId="09B2A4EB" w14:textId="32F2E400" w:rsidR="00C344E3" w:rsidRDefault="00C344E3">
      <w:pPr>
        <w:pStyle w:val="BodyText"/>
        <w:rPr>
          <w:sz w:val="20"/>
        </w:rPr>
      </w:pPr>
    </w:p>
    <w:p w14:paraId="77D6CD66" w14:textId="19300E45" w:rsidR="00C344E3" w:rsidRDefault="00F5163C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>List the categories of data contained in TPR’s guidance on record keeping and explain the meaning of each category</w:t>
      </w:r>
      <w:r w:rsidR="00C739BD">
        <w:t>.</w:t>
      </w:r>
      <w:r w:rsidR="00AB46AC">
        <w:tab/>
      </w:r>
    </w:p>
    <w:p w14:paraId="0692B85F" w14:textId="77777777" w:rsidR="00C344E3" w:rsidRDefault="00C344E3">
      <w:pPr>
        <w:pStyle w:val="BodyText"/>
        <w:spacing w:before="6"/>
        <w:rPr>
          <w:b/>
          <w:sz w:val="23"/>
        </w:rPr>
      </w:pPr>
    </w:p>
    <w:p w14:paraId="35036DB1" w14:textId="19ADEEB0" w:rsidR="00AB46AC" w:rsidRDefault="00AB46AC" w:rsidP="00AB46AC">
      <w:pPr>
        <w:pStyle w:val="BodyText"/>
        <w:ind w:left="7768" w:firstLine="152"/>
        <w:rPr>
          <w:b/>
          <w:bCs/>
        </w:rPr>
      </w:pPr>
      <w:r>
        <w:rPr>
          <w:b/>
          <w:bCs/>
        </w:rPr>
        <w:t>5 marks</w:t>
      </w:r>
    </w:p>
    <w:p w14:paraId="45B7C0CB" w14:textId="049A724F" w:rsidR="00C344E3" w:rsidRDefault="00C739BD">
      <w:pPr>
        <w:pStyle w:val="BodyText"/>
        <w:ind w:left="568"/>
      </w:pPr>
      <w:r>
        <w:t xml:space="preserve">Answer should </w:t>
      </w:r>
      <w:r w:rsidR="00F5163C">
        <w:t>cover</w:t>
      </w:r>
      <w:r>
        <w:t>:</w:t>
      </w:r>
    </w:p>
    <w:p w14:paraId="4FC8E9F3" w14:textId="77777777" w:rsidR="00D72E29" w:rsidRDefault="00D72E29">
      <w:pPr>
        <w:pStyle w:val="BodyText"/>
        <w:ind w:left="568"/>
      </w:pPr>
    </w:p>
    <w:p w14:paraId="704756FA" w14:textId="77777777" w:rsidR="00F5163C" w:rsidRDefault="00F5163C" w:rsidP="00F5163C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 w:rsidRPr="00F5163C">
        <w:rPr>
          <w:sz w:val="18"/>
          <w:szCs w:val="18"/>
        </w:rPr>
        <w:t>Common Data</w:t>
      </w:r>
      <w:r>
        <w:rPr>
          <w:sz w:val="18"/>
          <w:szCs w:val="18"/>
        </w:rPr>
        <w:t>:</w:t>
      </w:r>
    </w:p>
    <w:p w14:paraId="5A0EB2F0" w14:textId="6898CCC7" w:rsidR="00F5163C" w:rsidRDefault="00F5163C" w:rsidP="00F5163C">
      <w:pPr>
        <w:pStyle w:val="ListParagraph"/>
        <w:numPr>
          <w:ilvl w:val="1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 w:rsidRPr="00F5163C">
        <w:rPr>
          <w:sz w:val="18"/>
          <w:szCs w:val="18"/>
        </w:rPr>
        <w:t xml:space="preserve">data that is necessary and applicable to all members of all </w:t>
      </w:r>
      <w:proofErr w:type="gramStart"/>
      <w:r w:rsidRPr="00F5163C">
        <w:rPr>
          <w:sz w:val="18"/>
          <w:szCs w:val="18"/>
        </w:rPr>
        <w:t>scheme</w:t>
      </w:r>
      <w:r>
        <w:rPr>
          <w:sz w:val="18"/>
          <w:szCs w:val="18"/>
        </w:rPr>
        <w:t>;</w:t>
      </w:r>
      <w:proofErr w:type="gramEnd"/>
    </w:p>
    <w:p w14:paraId="16D2A27D" w14:textId="7C3EC7EC" w:rsidR="00F5163C" w:rsidRPr="00F5163C" w:rsidRDefault="00F5163C" w:rsidP="00F5163C">
      <w:pPr>
        <w:pStyle w:val="ListParagraph"/>
        <w:numPr>
          <w:ilvl w:val="1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 w:rsidRPr="00F5163C">
        <w:rPr>
          <w:sz w:val="18"/>
          <w:szCs w:val="18"/>
        </w:rPr>
        <w:t xml:space="preserve">absence </w:t>
      </w:r>
      <w:r>
        <w:rPr>
          <w:sz w:val="18"/>
          <w:szCs w:val="18"/>
        </w:rPr>
        <w:t xml:space="preserve">of common data </w:t>
      </w:r>
      <w:r w:rsidRPr="00F5163C">
        <w:rPr>
          <w:sz w:val="18"/>
          <w:szCs w:val="18"/>
        </w:rPr>
        <w:t>is likely to mean that the member cannot be identified or traced, or their benefits calculated</w:t>
      </w:r>
      <w:r>
        <w:rPr>
          <w:sz w:val="18"/>
          <w:szCs w:val="18"/>
        </w:rPr>
        <w:t xml:space="preserve"> </w:t>
      </w:r>
      <w:r w:rsidRPr="00F5163C">
        <w:rPr>
          <w:sz w:val="18"/>
          <w:szCs w:val="18"/>
        </w:rPr>
        <w:t>with any degree of certainty</w:t>
      </w:r>
      <w:r>
        <w:rPr>
          <w:sz w:val="18"/>
          <w:szCs w:val="18"/>
        </w:rPr>
        <w:t>;</w:t>
      </w:r>
      <w:r w:rsidRPr="00F5163C">
        <w:rPr>
          <w:sz w:val="18"/>
          <w:szCs w:val="18"/>
        </w:rPr>
        <w:t xml:space="preserve"> (for example name, date of birth, sex, address, membership status).</w:t>
      </w:r>
    </w:p>
    <w:p w14:paraId="4DFE9B82" w14:textId="77777777" w:rsidR="00F5163C" w:rsidRDefault="00F5163C" w:rsidP="00F5163C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 w:rsidRPr="00F5163C">
        <w:rPr>
          <w:sz w:val="18"/>
          <w:szCs w:val="18"/>
        </w:rPr>
        <w:t>Conditional Data</w:t>
      </w:r>
      <w:r>
        <w:rPr>
          <w:sz w:val="18"/>
          <w:szCs w:val="18"/>
        </w:rPr>
        <w:t>:</w:t>
      </w:r>
    </w:p>
    <w:p w14:paraId="717666E6" w14:textId="77777777" w:rsidR="00F5163C" w:rsidRDefault="00F5163C" w:rsidP="00F5163C">
      <w:pPr>
        <w:pStyle w:val="ListParagraph"/>
        <w:numPr>
          <w:ilvl w:val="1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 w:rsidRPr="00F5163C">
        <w:rPr>
          <w:sz w:val="18"/>
          <w:szCs w:val="18"/>
        </w:rPr>
        <w:t xml:space="preserve"> the nature of this data will vary from scheme to </w:t>
      </w:r>
      <w:proofErr w:type="gramStart"/>
      <w:r w:rsidRPr="00F5163C">
        <w:rPr>
          <w:sz w:val="18"/>
          <w:szCs w:val="18"/>
        </w:rPr>
        <w:t>scheme</w:t>
      </w:r>
      <w:r>
        <w:rPr>
          <w:sz w:val="18"/>
          <w:szCs w:val="18"/>
        </w:rPr>
        <w:t>;</w:t>
      </w:r>
      <w:proofErr w:type="gramEnd"/>
    </w:p>
    <w:p w14:paraId="3627C59A" w14:textId="60846302" w:rsidR="00F5163C" w:rsidRPr="00F5163C" w:rsidRDefault="00F5163C" w:rsidP="00F5163C">
      <w:pPr>
        <w:pStyle w:val="ListParagraph"/>
        <w:numPr>
          <w:ilvl w:val="1"/>
          <w:numId w:val="13"/>
        </w:numPr>
        <w:tabs>
          <w:tab w:val="left" w:pos="1540"/>
          <w:tab w:val="left" w:pos="1541"/>
        </w:tabs>
        <w:ind w:right="102"/>
        <w:rPr>
          <w:sz w:val="18"/>
          <w:szCs w:val="18"/>
        </w:rPr>
      </w:pPr>
      <w:r w:rsidRPr="00F5163C">
        <w:rPr>
          <w:sz w:val="18"/>
          <w:szCs w:val="18"/>
        </w:rPr>
        <w:t xml:space="preserve"> will depend on factors including scheme type and design, a member’s status in the scheme, system design and events that have occurred during their membership of the </w:t>
      </w:r>
      <w:proofErr w:type="gramStart"/>
      <w:r w:rsidRPr="00F5163C">
        <w:rPr>
          <w:sz w:val="18"/>
          <w:szCs w:val="18"/>
        </w:rPr>
        <w:t>scheme</w:t>
      </w:r>
      <w:r>
        <w:rPr>
          <w:sz w:val="18"/>
          <w:szCs w:val="18"/>
        </w:rPr>
        <w:t>;</w:t>
      </w:r>
      <w:proofErr w:type="gramEnd"/>
    </w:p>
    <w:p w14:paraId="6BC7DDC3" w14:textId="18C408DD" w:rsidR="00AB46AC" w:rsidRPr="00F5163C" w:rsidRDefault="00F5163C" w:rsidP="00F5163C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ind w:right="102"/>
        <w:rPr>
          <w:sz w:val="18"/>
        </w:rPr>
      </w:pPr>
      <w:r w:rsidRPr="00F5163C">
        <w:rPr>
          <w:sz w:val="18"/>
          <w:szCs w:val="18"/>
        </w:rPr>
        <w:t>Numerical Data — numerical information regarding members’ records that will help put the results of other measures into perspective.</w:t>
      </w:r>
    </w:p>
    <w:p w14:paraId="3394D124" w14:textId="65738692" w:rsidR="00F5163C" w:rsidRDefault="00F5163C" w:rsidP="00F5163C">
      <w:pPr>
        <w:tabs>
          <w:tab w:val="left" w:pos="1540"/>
          <w:tab w:val="left" w:pos="1541"/>
        </w:tabs>
        <w:ind w:right="102"/>
        <w:rPr>
          <w:sz w:val="18"/>
        </w:rPr>
      </w:pPr>
    </w:p>
    <w:p w14:paraId="2D3E6D0A" w14:textId="5E28B72E" w:rsidR="00E91786" w:rsidRPr="00E91786" w:rsidRDefault="00F5163C" w:rsidP="00AB46AC">
      <w:pPr>
        <w:tabs>
          <w:tab w:val="left" w:pos="1540"/>
          <w:tab w:val="left" w:pos="1541"/>
        </w:tabs>
        <w:ind w:right="102"/>
        <w:rPr>
          <w:sz w:val="18"/>
        </w:rPr>
      </w:pPr>
      <w:r>
        <w:rPr>
          <w:sz w:val="18"/>
        </w:rPr>
        <w:t xml:space="preserve">             </w:t>
      </w:r>
      <w:r w:rsidR="00E91786" w:rsidRPr="00E91786">
        <w:rPr>
          <w:sz w:val="18"/>
        </w:rPr>
        <w:t xml:space="preserve">(Relevant section of the manual is Part </w:t>
      </w:r>
      <w:r>
        <w:rPr>
          <w:sz w:val="18"/>
        </w:rPr>
        <w:t>5</w:t>
      </w:r>
      <w:r w:rsidR="00E91786" w:rsidRPr="00E91786">
        <w:rPr>
          <w:sz w:val="18"/>
        </w:rPr>
        <w:t xml:space="preserve"> Chapter 1.</w:t>
      </w:r>
      <w:r>
        <w:rPr>
          <w:sz w:val="18"/>
        </w:rPr>
        <w:t>8.1</w:t>
      </w:r>
      <w:r w:rsidR="00E91786" w:rsidRPr="00E91786">
        <w:rPr>
          <w:sz w:val="18"/>
        </w:rPr>
        <w:t>)</w:t>
      </w:r>
    </w:p>
    <w:p w14:paraId="5E7BD5F2" w14:textId="6141DEA2" w:rsidR="00C344E3" w:rsidRDefault="00C344E3">
      <w:pPr>
        <w:pStyle w:val="BodyText"/>
        <w:spacing w:before="9"/>
        <w:rPr>
          <w:sz w:val="21"/>
        </w:rPr>
      </w:pPr>
    </w:p>
    <w:p w14:paraId="2FF0A130" w14:textId="6C783F7F" w:rsidR="00E91786" w:rsidRDefault="00285040" w:rsidP="00E9178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List 5 elements that must be included in a defined contribution scheme’s annual Chair’s Statement in relation to the monitoring of investments</w:t>
      </w:r>
      <w:r w:rsidR="00E91786">
        <w:t>.</w:t>
      </w:r>
    </w:p>
    <w:p w14:paraId="3D646882" w14:textId="77777777" w:rsidR="00E91786" w:rsidRDefault="00E91786" w:rsidP="00E9178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500A144C" w14:textId="6B9135A1" w:rsidR="00E91786" w:rsidRDefault="00E91786" w:rsidP="00E91786">
      <w:pPr>
        <w:pStyle w:val="BodyText"/>
        <w:spacing w:before="34"/>
        <w:ind w:left="527"/>
      </w:pPr>
      <w:r>
        <w:t>Answer should</w:t>
      </w:r>
      <w:r w:rsidR="00285040">
        <w:t xml:space="preserve"> include 5 from the following</w:t>
      </w:r>
      <w:r>
        <w:t>:</w:t>
      </w:r>
    </w:p>
    <w:p w14:paraId="2DB995FB" w14:textId="77777777" w:rsidR="00E91786" w:rsidRDefault="00E91786" w:rsidP="00E91786">
      <w:pPr>
        <w:pStyle w:val="BodyText"/>
        <w:spacing w:before="7"/>
        <w:rPr>
          <w:sz w:val="20"/>
        </w:rPr>
      </w:pPr>
    </w:p>
    <w:p w14:paraId="5CE8CE32" w14:textId="77777777" w:rsidR="00285040" w:rsidRDefault="00285040" w:rsidP="00285040">
      <w:pPr>
        <w:pStyle w:val="BodyText"/>
        <w:numPr>
          <w:ilvl w:val="0"/>
          <w:numId w:val="15"/>
        </w:numPr>
        <w:spacing w:before="3"/>
      </w:pPr>
      <w:r w:rsidRPr="00285040">
        <w:t xml:space="preserve">latest statement of default investment </w:t>
      </w:r>
      <w:proofErr w:type="gramStart"/>
      <w:r w:rsidRPr="00285040">
        <w:t>strategy;</w:t>
      </w:r>
      <w:proofErr w:type="gramEnd"/>
      <w:r w:rsidRPr="00285040">
        <w:t xml:space="preserve"> </w:t>
      </w:r>
    </w:p>
    <w:p w14:paraId="07585F2C" w14:textId="77777777" w:rsidR="00285040" w:rsidRDefault="00285040" w:rsidP="00285040">
      <w:pPr>
        <w:pStyle w:val="BodyText"/>
        <w:numPr>
          <w:ilvl w:val="0"/>
          <w:numId w:val="15"/>
        </w:numPr>
        <w:spacing w:before="3"/>
      </w:pPr>
      <w:r w:rsidRPr="00285040">
        <w:t>details of any review of the default strategy and resulting changes (or if no review, date the last review took place</w:t>
      </w:r>
      <w:proofErr w:type="gramStart"/>
      <w:r w:rsidRPr="00285040">
        <w:t>);</w:t>
      </w:r>
      <w:proofErr w:type="gramEnd"/>
      <w:r w:rsidRPr="00285040">
        <w:t xml:space="preserve"> </w:t>
      </w:r>
    </w:p>
    <w:p w14:paraId="0F7DF31E" w14:textId="77777777" w:rsidR="00285040" w:rsidRDefault="00285040" w:rsidP="00285040">
      <w:pPr>
        <w:pStyle w:val="BodyText"/>
        <w:numPr>
          <w:ilvl w:val="0"/>
          <w:numId w:val="15"/>
        </w:numPr>
        <w:spacing w:before="3"/>
      </w:pPr>
      <w:r w:rsidRPr="00285040">
        <w:t xml:space="preserve">description of how the requirements in relation to core scheme financial transactions have been </w:t>
      </w:r>
      <w:proofErr w:type="gramStart"/>
      <w:r w:rsidRPr="00285040">
        <w:t>met;</w:t>
      </w:r>
      <w:proofErr w:type="gramEnd"/>
      <w:r w:rsidRPr="00285040">
        <w:t xml:space="preserve"> </w:t>
      </w:r>
    </w:p>
    <w:p w14:paraId="5B251043" w14:textId="77777777" w:rsidR="00285040" w:rsidRDefault="00285040" w:rsidP="00285040">
      <w:pPr>
        <w:pStyle w:val="BodyText"/>
        <w:numPr>
          <w:ilvl w:val="0"/>
          <w:numId w:val="15"/>
        </w:numPr>
        <w:spacing w:before="3"/>
      </w:pPr>
      <w:r w:rsidRPr="00285040">
        <w:t xml:space="preserve">report on charge levels in default funds and the range of charges in other funds and whether they deliver value to </w:t>
      </w:r>
      <w:proofErr w:type="gramStart"/>
      <w:r w:rsidRPr="00285040">
        <w:t>members;</w:t>
      </w:r>
      <w:proofErr w:type="gramEnd"/>
      <w:r w:rsidRPr="00285040">
        <w:t xml:space="preserve"> </w:t>
      </w:r>
    </w:p>
    <w:p w14:paraId="243EF693" w14:textId="77777777" w:rsidR="00285040" w:rsidRDefault="00285040" w:rsidP="00285040">
      <w:pPr>
        <w:pStyle w:val="BodyText"/>
        <w:numPr>
          <w:ilvl w:val="0"/>
          <w:numId w:val="15"/>
        </w:numPr>
        <w:spacing w:before="3"/>
      </w:pPr>
      <w:r w:rsidRPr="00285040">
        <w:t xml:space="preserve">report on transaction costs, or an explanation of why they have not been able to obtain them and an assessment of the value they </w:t>
      </w:r>
      <w:proofErr w:type="gramStart"/>
      <w:r w:rsidRPr="00285040">
        <w:t>represent;</w:t>
      </w:r>
      <w:proofErr w:type="gramEnd"/>
      <w:r w:rsidRPr="00285040">
        <w:t xml:space="preserve"> </w:t>
      </w:r>
    </w:p>
    <w:p w14:paraId="615070A4" w14:textId="1E86228C" w:rsidR="0086205F" w:rsidRDefault="00285040" w:rsidP="00285040">
      <w:pPr>
        <w:pStyle w:val="BodyText"/>
        <w:numPr>
          <w:ilvl w:val="0"/>
          <w:numId w:val="15"/>
        </w:numPr>
        <w:spacing w:before="3"/>
      </w:pPr>
      <w:r w:rsidRPr="00285040">
        <w:t>assessment of how the combined knowledge and understanding of the trustees, together with advice available, enables them properly to exercise their functions.</w:t>
      </w:r>
    </w:p>
    <w:p w14:paraId="1AE810BB" w14:textId="77777777" w:rsidR="00285040" w:rsidRDefault="00285040" w:rsidP="00285040">
      <w:pPr>
        <w:pStyle w:val="BodyText"/>
        <w:spacing w:before="3"/>
        <w:ind w:left="1080"/>
      </w:pPr>
    </w:p>
    <w:p w14:paraId="77980EAA" w14:textId="07B3A9FA" w:rsidR="00E91786" w:rsidRDefault="0086205F" w:rsidP="00E91786">
      <w:pPr>
        <w:pStyle w:val="BodyText"/>
        <w:ind w:left="527"/>
      </w:pPr>
      <w:r>
        <w:t>(</w:t>
      </w:r>
      <w:r w:rsidR="00E91786">
        <w:t xml:space="preserve">Relevant section of the manual is Part </w:t>
      </w:r>
      <w:r w:rsidR="00285040">
        <w:t>5</w:t>
      </w:r>
      <w:r w:rsidR="00E91786">
        <w:t xml:space="preserve"> Chapter 1.</w:t>
      </w:r>
      <w:r w:rsidR="00285040">
        <w:t>1.5</w:t>
      </w:r>
      <w:r>
        <w:t>)</w:t>
      </w:r>
    </w:p>
    <w:p w14:paraId="128C90B9" w14:textId="77777777" w:rsidR="009D5026" w:rsidRDefault="009D5026" w:rsidP="00E91786">
      <w:pPr>
        <w:pStyle w:val="BodyText"/>
        <w:ind w:left="527"/>
      </w:pPr>
    </w:p>
    <w:p w14:paraId="1921462D" w14:textId="2C8DE2D2" w:rsidR="009D5026" w:rsidRDefault="009D5026" w:rsidP="00E91786">
      <w:pPr>
        <w:pStyle w:val="BodyText"/>
        <w:ind w:left="527"/>
      </w:pPr>
    </w:p>
    <w:p w14:paraId="67E59C2B" w14:textId="0135C723" w:rsidR="009D5026" w:rsidRDefault="009D5026" w:rsidP="009D502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Describe why internal controls are required as part of a scheme governance framework and how the internal controls can be managed.</w:t>
      </w:r>
    </w:p>
    <w:p w14:paraId="6EA4FAD4" w14:textId="77777777" w:rsidR="009D5026" w:rsidRDefault="009D5026" w:rsidP="009D502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4A3795B8" w14:textId="77777777" w:rsidR="009D5026" w:rsidRDefault="009D5026" w:rsidP="009D5026">
      <w:pPr>
        <w:pStyle w:val="BodyText"/>
        <w:spacing w:before="34"/>
        <w:ind w:left="527"/>
      </w:pPr>
      <w:r>
        <w:t>Answer should cover:</w:t>
      </w:r>
    </w:p>
    <w:p w14:paraId="517793AD" w14:textId="77777777" w:rsidR="009D5026" w:rsidRDefault="009D5026" w:rsidP="009D5026">
      <w:pPr>
        <w:pStyle w:val="BodyText"/>
        <w:spacing w:before="7"/>
        <w:rPr>
          <w:sz w:val="20"/>
        </w:rPr>
      </w:pPr>
    </w:p>
    <w:p w14:paraId="61E51E0A" w14:textId="0515B142" w:rsidR="009D5026" w:rsidRDefault="00B11469" w:rsidP="009D5026">
      <w:pPr>
        <w:pStyle w:val="BodyText"/>
        <w:numPr>
          <w:ilvl w:val="0"/>
          <w:numId w:val="9"/>
        </w:numPr>
        <w:spacing w:before="3"/>
      </w:pPr>
      <w:r>
        <w:t>C</w:t>
      </w:r>
      <w:r w:rsidR="009D5026">
        <w:t>rucial that trustees have a framework of internal controls</w:t>
      </w:r>
      <w:r>
        <w:t xml:space="preserve"> to manage </w:t>
      </w:r>
      <w:proofErr w:type="gramStart"/>
      <w:r>
        <w:t>risk</w:t>
      </w:r>
      <w:r w:rsidR="009D5026">
        <w:t>;</w:t>
      </w:r>
      <w:proofErr w:type="gramEnd"/>
    </w:p>
    <w:p w14:paraId="2DBE5CC5" w14:textId="27DE70AA" w:rsidR="009D5026" w:rsidRDefault="009D5026" w:rsidP="009D5026">
      <w:pPr>
        <w:pStyle w:val="BodyText"/>
        <w:numPr>
          <w:ilvl w:val="0"/>
          <w:numId w:val="9"/>
        </w:numPr>
        <w:spacing w:before="3"/>
      </w:pPr>
      <w:r>
        <w:t xml:space="preserve">Internal controls are processes and procedures to be followed for the effective administration and management of the </w:t>
      </w:r>
      <w:proofErr w:type="gramStart"/>
      <w:r>
        <w:t>scheme;</w:t>
      </w:r>
      <w:proofErr w:type="gramEnd"/>
    </w:p>
    <w:p w14:paraId="7AF9C40F" w14:textId="13E8DDC5" w:rsidR="009D5026" w:rsidRDefault="009D5026" w:rsidP="009D5026">
      <w:pPr>
        <w:pStyle w:val="BodyText"/>
        <w:numPr>
          <w:ilvl w:val="0"/>
          <w:numId w:val="9"/>
        </w:numPr>
        <w:spacing w:before="3"/>
      </w:pPr>
      <w:r>
        <w:t xml:space="preserve">Enables trustees to identify, evaluate, control, and monitor the risks to the </w:t>
      </w:r>
      <w:proofErr w:type="gramStart"/>
      <w:r>
        <w:t>scheme;</w:t>
      </w:r>
      <w:proofErr w:type="gramEnd"/>
    </w:p>
    <w:p w14:paraId="5AE37320" w14:textId="03B4A0E7" w:rsidR="009D5026" w:rsidRDefault="009D5026" w:rsidP="009D5026">
      <w:pPr>
        <w:pStyle w:val="BodyText"/>
        <w:numPr>
          <w:ilvl w:val="0"/>
          <w:numId w:val="9"/>
        </w:numPr>
        <w:spacing w:before="3"/>
      </w:pPr>
      <w:r>
        <w:t xml:space="preserve">Risks to a scheme </w:t>
      </w:r>
      <w:r w:rsidR="00B11469">
        <w:t>include</w:t>
      </w:r>
      <w:r>
        <w:t xml:space="preserve"> operational, financial, funding, regulatory and compliance</w:t>
      </w:r>
      <w:r w:rsidR="00B11469">
        <w:t xml:space="preserve"> </w:t>
      </w:r>
      <w:proofErr w:type="gramStart"/>
      <w:r w:rsidR="00B11469">
        <w:t>risks;</w:t>
      </w:r>
      <w:proofErr w:type="gramEnd"/>
    </w:p>
    <w:p w14:paraId="62C4803E" w14:textId="0C30D9B9" w:rsidR="009D5026" w:rsidRDefault="009D5026" w:rsidP="009D5026">
      <w:pPr>
        <w:pStyle w:val="BodyText"/>
        <w:numPr>
          <w:ilvl w:val="0"/>
          <w:numId w:val="9"/>
        </w:numPr>
        <w:spacing w:before="3"/>
      </w:pPr>
      <w:r>
        <w:t xml:space="preserve">Risk register should document the risks and show the controls in place to manage </w:t>
      </w:r>
      <w:proofErr w:type="gramStart"/>
      <w:r>
        <w:t>them;</w:t>
      </w:r>
      <w:proofErr w:type="gramEnd"/>
    </w:p>
    <w:p w14:paraId="620B9A37" w14:textId="78ECFB19" w:rsidR="009D5026" w:rsidRDefault="00B11469" w:rsidP="009D5026">
      <w:pPr>
        <w:pStyle w:val="BodyText"/>
        <w:numPr>
          <w:ilvl w:val="0"/>
          <w:numId w:val="9"/>
        </w:numPr>
        <w:spacing w:before="3"/>
      </w:pPr>
      <w:r>
        <w:t>R</w:t>
      </w:r>
      <w:r w:rsidR="009D5026">
        <w:t xml:space="preserve">isk register </w:t>
      </w:r>
      <w:r>
        <w:t xml:space="preserve">should be updated </w:t>
      </w:r>
      <w:r w:rsidR="009D5026">
        <w:t>on a regular basis at each trustee meeting and us</w:t>
      </w:r>
      <w:r>
        <w:t>ed</w:t>
      </w:r>
      <w:r w:rsidR="009D5026">
        <w:t xml:space="preserve"> </w:t>
      </w:r>
      <w:r>
        <w:t>to</w:t>
      </w:r>
      <w:r w:rsidR="009D5026">
        <w:t xml:space="preserve"> identify </w:t>
      </w:r>
      <w:r>
        <w:t xml:space="preserve">and monitor </w:t>
      </w:r>
      <w:r w:rsidR="009D5026">
        <w:t>any</w:t>
      </w:r>
      <w:r>
        <w:t xml:space="preserve"> </w:t>
      </w:r>
      <w:r w:rsidR="009D5026">
        <w:t>weaknesses in the scheme’s internal controls.</w:t>
      </w:r>
    </w:p>
    <w:p w14:paraId="7228114F" w14:textId="77777777" w:rsidR="009D5026" w:rsidRDefault="009D5026" w:rsidP="009D5026">
      <w:pPr>
        <w:pStyle w:val="BodyText"/>
        <w:spacing w:before="3"/>
        <w:ind w:left="1080"/>
      </w:pPr>
    </w:p>
    <w:p w14:paraId="5A436E26" w14:textId="1587842D" w:rsidR="009D5026" w:rsidRDefault="009D5026" w:rsidP="009D5026">
      <w:pPr>
        <w:pStyle w:val="BodyText"/>
        <w:ind w:left="527"/>
      </w:pPr>
      <w:r>
        <w:t xml:space="preserve">(Relevant section of the manual is Part </w:t>
      </w:r>
      <w:r w:rsidR="00B11469">
        <w:t>5</w:t>
      </w:r>
      <w:r>
        <w:t xml:space="preserve"> Chapter </w:t>
      </w:r>
      <w:r w:rsidR="00B11469">
        <w:t>1.1.1</w:t>
      </w:r>
      <w:r>
        <w:t>)</w:t>
      </w:r>
    </w:p>
    <w:p w14:paraId="0AE674AA" w14:textId="77777777" w:rsidR="00B11469" w:rsidRDefault="00B11469" w:rsidP="009D5026">
      <w:pPr>
        <w:pStyle w:val="BodyText"/>
        <w:ind w:left="527"/>
      </w:pPr>
    </w:p>
    <w:p w14:paraId="4FCB8592" w14:textId="1F777EBB" w:rsidR="00C344E3" w:rsidRDefault="00C344E3">
      <w:pPr>
        <w:pStyle w:val="BodyText"/>
        <w:ind w:left="527"/>
      </w:pPr>
    </w:p>
    <w:p w14:paraId="6BDD1534" w14:textId="699F46EF" w:rsidR="00E91786" w:rsidRDefault="00E91786"/>
    <w:p w14:paraId="1E7134C4" w14:textId="7801F2EE" w:rsidR="00B11469" w:rsidRDefault="00B11469"/>
    <w:p w14:paraId="7DD18958" w14:textId="77777777" w:rsidR="00B11469" w:rsidRDefault="00B11469"/>
    <w:p w14:paraId="3EF1E8B4" w14:textId="7B16A2F2" w:rsidR="00C344E3" w:rsidRDefault="00680A48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>In relation to defined contribution trust-based schemes, how is “value for members” (VFM) described in the DC Code? Outline briefly what TPR expects the trustees to consider in relation to VFM, t</w:t>
      </w:r>
      <w:r w:rsidR="00285040">
        <w:t xml:space="preserve">he </w:t>
      </w:r>
      <w:r w:rsidR="00F17FF0">
        <w:t xml:space="preserve">minimum </w:t>
      </w:r>
      <w:r w:rsidR="00285040">
        <w:t>4 key areas TPR expects DC trustee boards to consider</w:t>
      </w:r>
      <w:r w:rsidR="00F17FF0">
        <w:t xml:space="preserve"> when assessing </w:t>
      </w:r>
      <w:r>
        <w:t>VFM</w:t>
      </w:r>
      <w:r w:rsidR="00F17FF0">
        <w:t xml:space="preserve">, and </w:t>
      </w:r>
      <w:r>
        <w:t>the stages in TPR’s VFM assessment model</w:t>
      </w:r>
      <w:r w:rsidR="00C739BD">
        <w:t>.</w:t>
      </w:r>
    </w:p>
    <w:p w14:paraId="4E44351E" w14:textId="77777777" w:rsidR="00D72E29" w:rsidRDefault="00D72E29" w:rsidP="00EC5327">
      <w:pPr>
        <w:spacing w:before="34"/>
        <w:ind w:left="8021"/>
        <w:rPr>
          <w:b/>
          <w:sz w:val="18"/>
        </w:rPr>
      </w:pPr>
    </w:p>
    <w:p w14:paraId="7D97FDCB" w14:textId="67A8B568" w:rsidR="00C344E3" w:rsidRPr="00EC5327" w:rsidRDefault="00C739BD" w:rsidP="00EC5327">
      <w:pPr>
        <w:spacing w:before="34"/>
        <w:ind w:left="8021"/>
        <w:rPr>
          <w:b/>
          <w:sz w:val="18"/>
        </w:rPr>
      </w:pPr>
      <w:r>
        <w:rPr>
          <w:b/>
          <w:sz w:val="18"/>
        </w:rPr>
        <w:t>10 marks</w:t>
      </w:r>
    </w:p>
    <w:p w14:paraId="5F424DEE" w14:textId="54C0E0BE" w:rsidR="00DF0CCF" w:rsidRDefault="00C739BD">
      <w:pPr>
        <w:pStyle w:val="BodyText"/>
        <w:spacing w:before="64"/>
        <w:ind w:left="527"/>
      </w:pPr>
      <w:r>
        <w:t>Answer should cover:</w:t>
      </w:r>
    </w:p>
    <w:p w14:paraId="067AC154" w14:textId="77777777" w:rsidR="002E547D" w:rsidRDefault="002E547D">
      <w:pPr>
        <w:pStyle w:val="BodyText"/>
        <w:spacing w:before="64"/>
        <w:ind w:left="527"/>
      </w:pPr>
    </w:p>
    <w:p w14:paraId="17698E68" w14:textId="67CEA074" w:rsidR="00680A48" w:rsidRDefault="00680A48" w:rsidP="00680A48">
      <w:pPr>
        <w:pStyle w:val="BodyText"/>
        <w:numPr>
          <w:ilvl w:val="0"/>
          <w:numId w:val="16"/>
        </w:numPr>
        <w:spacing w:before="9"/>
      </w:pPr>
      <w:r>
        <w:t xml:space="preserve">VFM described </w:t>
      </w:r>
      <w:proofErr w:type="gramStart"/>
      <w:r>
        <w:t>as :</w:t>
      </w:r>
      <w:proofErr w:type="gramEnd"/>
      <w:r>
        <w:t xml:space="preserve"> “…where the combination of costs to which members’ funds are subject and what is provided for the costs is appropriate for the scheme membership as a whole, and when compared to other options available in the market”</w:t>
      </w:r>
      <w:r w:rsidR="009D5026">
        <w:t>;</w:t>
      </w:r>
    </w:p>
    <w:p w14:paraId="544C758D" w14:textId="65557AE4" w:rsidR="00680A48" w:rsidRDefault="00680A48" w:rsidP="00680A48">
      <w:pPr>
        <w:pStyle w:val="BodyText"/>
        <w:numPr>
          <w:ilvl w:val="0"/>
          <w:numId w:val="16"/>
        </w:numPr>
        <w:spacing w:before="9"/>
      </w:pPr>
      <w:r>
        <w:t xml:space="preserve">VFM does not necessarily mean low cost, provided higher costs can be justified by improved </w:t>
      </w:r>
      <w:proofErr w:type="gramStart"/>
      <w:r>
        <w:t>benefits</w:t>
      </w:r>
      <w:r w:rsidR="009D5026">
        <w:t>;</w:t>
      </w:r>
      <w:proofErr w:type="gramEnd"/>
    </w:p>
    <w:p w14:paraId="48795EB8" w14:textId="645EC366" w:rsidR="00680A48" w:rsidRDefault="00680A48" w:rsidP="00680A48">
      <w:pPr>
        <w:pStyle w:val="BodyText"/>
        <w:numPr>
          <w:ilvl w:val="0"/>
          <w:numId w:val="16"/>
        </w:numPr>
        <w:spacing w:before="9"/>
      </w:pPr>
      <w:r>
        <w:t xml:space="preserve">Trustees encouraged to consider which areas members place most value on, which includes taking into account scheme demographics and, where possible, the membership’s salary </w:t>
      </w:r>
      <w:proofErr w:type="gramStart"/>
      <w:r>
        <w:t>profile</w:t>
      </w:r>
      <w:r w:rsidR="009D5026">
        <w:t>;</w:t>
      </w:r>
      <w:proofErr w:type="gramEnd"/>
    </w:p>
    <w:p w14:paraId="6E251547" w14:textId="1B587A30" w:rsidR="00680A48" w:rsidRDefault="00680A48" w:rsidP="00680A48">
      <w:pPr>
        <w:pStyle w:val="BodyText"/>
        <w:numPr>
          <w:ilvl w:val="0"/>
          <w:numId w:val="16"/>
        </w:numPr>
        <w:spacing w:before="9"/>
      </w:pPr>
      <w:r>
        <w:t xml:space="preserve">The areas that constitute VFM and the weightings of importance vary from scheme to </w:t>
      </w:r>
      <w:proofErr w:type="gramStart"/>
      <w:r>
        <w:t>scheme</w:t>
      </w:r>
      <w:r w:rsidR="009D5026">
        <w:t>;</w:t>
      </w:r>
      <w:proofErr w:type="gramEnd"/>
      <w:r>
        <w:t xml:space="preserve"> </w:t>
      </w:r>
    </w:p>
    <w:p w14:paraId="71F698E3" w14:textId="77777777" w:rsidR="00680A48" w:rsidRDefault="00680A48" w:rsidP="00680A48">
      <w:pPr>
        <w:pStyle w:val="BodyText"/>
        <w:numPr>
          <w:ilvl w:val="0"/>
          <w:numId w:val="16"/>
        </w:numPr>
        <w:spacing w:before="9"/>
      </w:pPr>
      <w:r>
        <w:t>Minimum four key areas:</w:t>
      </w:r>
    </w:p>
    <w:p w14:paraId="4D81E627" w14:textId="26E69B94" w:rsidR="00680A48" w:rsidRDefault="00680A48" w:rsidP="00680A48">
      <w:pPr>
        <w:pStyle w:val="BodyText"/>
        <w:numPr>
          <w:ilvl w:val="1"/>
          <w:numId w:val="16"/>
        </w:numPr>
        <w:spacing w:before="9"/>
      </w:pPr>
      <w:r>
        <w:t>scheme management and governance</w:t>
      </w:r>
    </w:p>
    <w:p w14:paraId="0B6740FC" w14:textId="242EEE87" w:rsidR="00680A48" w:rsidRDefault="00680A48" w:rsidP="00680A48">
      <w:pPr>
        <w:pStyle w:val="BodyText"/>
        <w:numPr>
          <w:ilvl w:val="1"/>
          <w:numId w:val="16"/>
        </w:numPr>
        <w:spacing w:before="9"/>
      </w:pPr>
      <w:r>
        <w:t>administration</w:t>
      </w:r>
    </w:p>
    <w:p w14:paraId="1334BCB8" w14:textId="7DD0AEF6" w:rsidR="00680A48" w:rsidRDefault="00680A48" w:rsidP="00680A48">
      <w:pPr>
        <w:pStyle w:val="BodyText"/>
        <w:numPr>
          <w:ilvl w:val="1"/>
          <w:numId w:val="16"/>
        </w:numPr>
        <w:spacing w:before="9"/>
      </w:pPr>
      <w:r>
        <w:t>investment governance</w:t>
      </w:r>
    </w:p>
    <w:p w14:paraId="6938A905" w14:textId="1EDF7DDB" w:rsidR="00680A48" w:rsidRDefault="00680A48" w:rsidP="00680A48">
      <w:pPr>
        <w:pStyle w:val="BodyText"/>
        <w:numPr>
          <w:ilvl w:val="1"/>
          <w:numId w:val="16"/>
        </w:numPr>
        <w:spacing w:before="9"/>
      </w:pPr>
      <w:r>
        <w:t>communications</w:t>
      </w:r>
    </w:p>
    <w:p w14:paraId="48F4EAA6" w14:textId="6DF7AF4C" w:rsidR="00680A48" w:rsidRDefault="009D5026" w:rsidP="00680A48">
      <w:pPr>
        <w:pStyle w:val="BodyText"/>
        <w:numPr>
          <w:ilvl w:val="0"/>
          <w:numId w:val="16"/>
        </w:numPr>
        <w:spacing w:before="9"/>
      </w:pPr>
      <w:r>
        <w:t xml:space="preserve">Stages of </w:t>
      </w:r>
      <w:r w:rsidR="00680A48">
        <w:t>TPR</w:t>
      </w:r>
      <w:r>
        <w:t>’s</w:t>
      </w:r>
      <w:r w:rsidR="00680A48">
        <w:t xml:space="preserve"> model process for a VFM assessment:</w:t>
      </w:r>
    </w:p>
    <w:p w14:paraId="76DAB938" w14:textId="55150A84" w:rsidR="00680A48" w:rsidRDefault="00680A48" w:rsidP="009D5026">
      <w:pPr>
        <w:pStyle w:val="BodyText"/>
        <w:numPr>
          <w:ilvl w:val="1"/>
          <w:numId w:val="16"/>
        </w:numPr>
        <w:spacing w:before="9"/>
      </w:pPr>
      <w:r>
        <w:t>Step 1 – Collect information on what the scheme provides for members and at what cost</w:t>
      </w:r>
    </w:p>
    <w:p w14:paraId="780446A6" w14:textId="77777777" w:rsidR="009D5026" w:rsidRDefault="00680A48" w:rsidP="00680A48">
      <w:pPr>
        <w:pStyle w:val="BodyText"/>
        <w:numPr>
          <w:ilvl w:val="1"/>
          <w:numId w:val="16"/>
        </w:numPr>
        <w:spacing w:before="9"/>
      </w:pPr>
      <w:r>
        <w:t>Step 2 – Assess the scope of the service provided and the quality</w:t>
      </w:r>
    </w:p>
    <w:p w14:paraId="03AA9093" w14:textId="77777777" w:rsidR="009D5026" w:rsidRDefault="00680A48" w:rsidP="00680A48">
      <w:pPr>
        <w:pStyle w:val="BodyText"/>
        <w:numPr>
          <w:ilvl w:val="1"/>
          <w:numId w:val="16"/>
        </w:numPr>
        <w:spacing w:before="9"/>
      </w:pPr>
      <w:r>
        <w:t>Step 3 – Evaluate the scope and quality of the service provided against costs</w:t>
      </w:r>
    </w:p>
    <w:p w14:paraId="5E5B6A09" w14:textId="4178F719" w:rsidR="00C344E3" w:rsidRDefault="00680A48" w:rsidP="00680A48">
      <w:pPr>
        <w:pStyle w:val="BodyText"/>
        <w:numPr>
          <w:ilvl w:val="1"/>
          <w:numId w:val="16"/>
        </w:numPr>
        <w:spacing w:before="9"/>
      </w:pPr>
      <w:r>
        <w:t>Step 4 – Report on the findings and, if necessary, take action to address poor value</w:t>
      </w:r>
    </w:p>
    <w:p w14:paraId="58AC4D8D" w14:textId="77777777" w:rsidR="009D5026" w:rsidRPr="009D5026" w:rsidRDefault="009D5026" w:rsidP="009D5026">
      <w:pPr>
        <w:pStyle w:val="BodyText"/>
        <w:spacing w:before="9"/>
        <w:ind w:left="1440"/>
      </w:pPr>
    </w:p>
    <w:p w14:paraId="73FFBD93" w14:textId="7C543EC8" w:rsidR="00C344E3" w:rsidRDefault="00C739BD">
      <w:pPr>
        <w:pStyle w:val="BodyText"/>
        <w:ind w:left="527"/>
      </w:pPr>
      <w:r>
        <w:t xml:space="preserve">(Relevant section of the manual is Part </w:t>
      </w:r>
      <w:r w:rsidR="00680A48">
        <w:t>5</w:t>
      </w:r>
      <w:r>
        <w:t xml:space="preserve"> Chapter 1.</w:t>
      </w:r>
      <w:r w:rsidR="00680A48">
        <w:t>2.3</w:t>
      </w:r>
      <w:r>
        <w:t>)</w:t>
      </w:r>
    </w:p>
    <w:p w14:paraId="1A9C838A" w14:textId="77777777" w:rsidR="00C344E3" w:rsidRDefault="00C344E3"/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headerReference w:type="default" r:id="rId7"/>
          <w:footerReference w:type="default" r:id="rId8"/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595E866F" w:rsidR="00424994" w:rsidRDefault="00B11469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 xml:space="preserve">Describe the key consideration for trustees or employers when selecting and appointing professional advisers and service providers to manage the needs of a DC workplace pension scheme. </w:t>
      </w:r>
    </w:p>
    <w:p w14:paraId="294A2224" w14:textId="77777777" w:rsidR="00424994" w:rsidRPr="00EC5327" w:rsidRDefault="00424994" w:rsidP="00424994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1C0C80F1" w14:textId="77777777" w:rsidR="00424994" w:rsidRDefault="00424994" w:rsidP="00424994">
      <w:pPr>
        <w:pStyle w:val="BodyText"/>
        <w:spacing w:before="64"/>
        <w:ind w:left="527"/>
      </w:pPr>
      <w:r>
        <w:t>Answer should cover:</w:t>
      </w:r>
    </w:p>
    <w:p w14:paraId="26BB6A6E" w14:textId="77777777" w:rsidR="00424994" w:rsidRDefault="00424994" w:rsidP="00424994">
      <w:pPr>
        <w:pStyle w:val="BodyText"/>
        <w:spacing w:before="11"/>
        <w:rPr>
          <w:sz w:val="17"/>
        </w:rPr>
      </w:pPr>
    </w:p>
    <w:p w14:paraId="7EB242D5" w14:textId="54FF357C" w:rsidR="00153CCA" w:rsidRDefault="00B11469" w:rsidP="00424994">
      <w:pPr>
        <w:pStyle w:val="BodyText"/>
        <w:numPr>
          <w:ilvl w:val="0"/>
          <w:numId w:val="5"/>
        </w:numPr>
        <w:spacing w:before="11"/>
      </w:pPr>
      <w:r>
        <w:t xml:space="preserve">Advisers </w:t>
      </w:r>
      <w:r w:rsidR="00153CCA">
        <w:t xml:space="preserve">should provide scope of services, remuneration basis and demonstrate good </w:t>
      </w:r>
      <w:proofErr w:type="gramStart"/>
      <w:r w:rsidR="00153CCA">
        <w:t>service;</w:t>
      </w:r>
      <w:proofErr w:type="gramEnd"/>
    </w:p>
    <w:p w14:paraId="7EEEBF5F" w14:textId="19BD431D" w:rsidR="00424994" w:rsidRDefault="00153CCA" w:rsidP="00424994">
      <w:pPr>
        <w:pStyle w:val="BodyText"/>
        <w:numPr>
          <w:ilvl w:val="0"/>
          <w:numId w:val="5"/>
        </w:numPr>
        <w:spacing w:before="11"/>
      </w:pPr>
      <w:r>
        <w:t xml:space="preserve">Advisers can assist in selection of a service </w:t>
      </w:r>
      <w:proofErr w:type="gramStart"/>
      <w:r>
        <w:t>provider;</w:t>
      </w:r>
      <w:proofErr w:type="gramEnd"/>
    </w:p>
    <w:p w14:paraId="2C9ACEE5" w14:textId="02820E02" w:rsidR="00153CCA" w:rsidRDefault="00153CCA" w:rsidP="00424994">
      <w:pPr>
        <w:pStyle w:val="BodyText"/>
        <w:numPr>
          <w:ilvl w:val="0"/>
          <w:numId w:val="5"/>
        </w:numPr>
        <w:spacing w:before="11"/>
      </w:pPr>
      <w:r>
        <w:t xml:space="preserve">Trustee/employer should identify the criteria the service provider must </w:t>
      </w:r>
      <w:proofErr w:type="gramStart"/>
      <w:r>
        <w:t>meet;</w:t>
      </w:r>
      <w:proofErr w:type="gramEnd"/>
    </w:p>
    <w:p w14:paraId="37BCF0BE" w14:textId="55A561C1" w:rsidR="00153CCA" w:rsidRDefault="00153CCA" w:rsidP="00153CCA">
      <w:pPr>
        <w:pStyle w:val="BodyText"/>
        <w:numPr>
          <w:ilvl w:val="0"/>
          <w:numId w:val="5"/>
        </w:numPr>
        <w:spacing w:before="11"/>
      </w:pPr>
      <w:r>
        <w:t>For advisers and service providers, a clear and comprehensive contract should be executed setting out:</w:t>
      </w:r>
    </w:p>
    <w:p w14:paraId="30387881" w14:textId="44A40F17" w:rsidR="00424994" w:rsidRDefault="00153CCA" w:rsidP="00424994">
      <w:pPr>
        <w:pStyle w:val="BodyText"/>
        <w:numPr>
          <w:ilvl w:val="1"/>
          <w:numId w:val="5"/>
        </w:numPr>
        <w:spacing w:before="11"/>
      </w:pPr>
      <w:r>
        <w:t xml:space="preserve">the terms of the </w:t>
      </w:r>
      <w:proofErr w:type="gramStart"/>
      <w:r>
        <w:t>appointment;</w:t>
      </w:r>
      <w:proofErr w:type="gramEnd"/>
    </w:p>
    <w:p w14:paraId="0173B5C6" w14:textId="4516AB37" w:rsidR="00424994" w:rsidRDefault="00153CCA" w:rsidP="00424994">
      <w:pPr>
        <w:pStyle w:val="BodyText"/>
        <w:numPr>
          <w:ilvl w:val="1"/>
          <w:numId w:val="5"/>
        </w:numPr>
        <w:spacing w:before="11"/>
      </w:pPr>
      <w:r>
        <w:t xml:space="preserve">Service level agreements and standard of </w:t>
      </w:r>
      <w:proofErr w:type="gramStart"/>
      <w:r>
        <w:t>service;</w:t>
      </w:r>
      <w:proofErr w:type="gramEnd"/>
    </w:p>
    <w:p w14:paraId="11B32DAE" w14:textId="404479BD" w:rsidR="00153CCA" w:rsidRDefault="00153CCA" w:rsidP="00424994">
      <w:pPr>
        <w:pStyle w:val="BodyText"/>
        <w:numPr>
          <w:ilvl w:val="1"/>
          <w:numId w:val="5"/>
        </w:numPr>
        <w:spacing w:before="11"/>
      </w:pPr>
      <w:r>
        <w:t xml:space="preserve">Extend of trustee/employer access to key personnel/dedicated </w:t>
      </w:r>
      <w:proofErr w:type="gramStart"/>
      <w:r>
        <w:t>teams;</w:t>
      </w:r>
      <w:proofErr w:type="gramEnd"/>
    </w:p>
    <w:p w14:paraId="1DFF23E6" w14:textId="241C016A" w:rsidR="00153CCA" w:rsidRDefault="00153CCA" w:rsidP="00424994">
      <w:pPr>
        <w:pStyle w:val="BodyText"/>
        <w:numPr>
          <w:ilvl w:val="1"/>
          <w:numId w:val="5"/>
        </w:numPr>
        <w:spacing w:before="11"/>
      </w:pPr>
      <w:r>
        <w:t xml:space="preserve">The data protection and security </w:t>
      </w:r>
      <w:proofErr w:type="spellStart"/>
      <w:r>
        <w:t>arrangents</w:t>
      </w:r>
      <w:proofErr w:type="spellEnd"/>
      <w:r>
        <w:t xml:space="preserve"> in </w:t>
      </w:r>
      <w:proofErr w:type="gramStart"/>
      <w:r>
        <w:t>place;</w:t>
      </w:r>
      <w:proofErr w:type="gramEnd"/>
    </w:p>
    <w:p w14:paraId="616F0603" w14:textId="1A91006C" w:rsidR="00153CCA" w:rsidRDefault="00153CCA" w:rsidP="00424994">
      <w:pPr>
        <w:pStyle w:val="BodyText"/>
        <w:numPr>
          <w:ilvl w:val="1"/>
          <w:numId w:val="5"/>
        </w:numPr>
        <w:spacing w:before="11"/>
      </w:pPr>
      <w:r>
        <w:t xml:space="preserve">Limitations of </w:t>
      </w:r>
      <w:proofErr w:type="gramStart"/>
      <w:r>
        <w:t>liability;</w:t>
      </w:r>
      <w:proofErr w:type="gramEnd"/>
    </w:p>
    <w:p w14:paraId="14870E29" w14:textId="720D96D5" w:rsidR="00153CCA" w:rsidRDefault="00153CCA" w:rsidP="00153CCA">
      <w:pPr>
        <w:pStyle w:val="BodyText"/>
        <w:numPr>
          <w:ilvl w:val="1"/>
          <w:numId w:val="5"/>
        </w:numPr>
        <w:spacing w:before="11"/>
      </w:pPr>
      <w:r>
        <w:t>Fees (including agreed fees, the basis for calculating fees, additional charges</w:t>
      </w:r>
      <w:proofErr w:type="gramStart"/>
      <w:r>
        <w:t>);</w:t>
      </w:r>
      <w:proofErr w:type="gramEnd"/>
    </w:p>
    <w:p w14:paraId="0E604EFC" w14:textId="3E5BCE7C" w:rsidR="00153CCA" w:rsidRDefault="00153CCA" w:rsidP="00153CCA">
      <w:pPr>
        <w:pStyle w:val="BodyText"/>
        <w:numPr>
          <w:ilvl w:val="1"/>
          <w:numId w:val="5"/>
        </w:numPr>
        <w:spacing w:before="11"/>
      </w:pPr>
      <w:r>
        <w:t xml:space="preserve">Agreement on the delegation of </w:t>
      </w:r>
      <w:proofErr w:type="gramStart"/>
      <w:r>
        <w:t>functions;</w:t>
      </w:r>
      <w:proofErr w:type="gramEnd"/>
    </w:p>
    <w:p w14:paraId="630D31DA" w14:textId="0DE66757" w:rsidR="00153CCA" w:rsidRDefault="00153CCA" w:rsidP="00153CCA">
      <w:pPr>
        <w:pStyle w:val="BodyText"/>
        <w:numPr>
          <w:ilvl w:val="1"/>
          <w:numId w:val="5"/>
        </w:numPr>
        <w:spacing w:before="11"/>
      </w:pPr>
      <w:r>
        <w:t>Agreement on terminating the appointment, including notice period and exit fees.</w:t>
      </w:r>
    </w:p>
    <w:p w14:paraId="5D61FBF0" w14:textId="1CAF1D9E" w:rsidR="00424994" w:rsidRDefault="00424994" w:rsidP="00E90B5D">
      <w:pPr>
        <w:pStyle w:val="BodyText"/>
        <w:spacing w:before="11"/>
        <w:ind w:left="720"/>
        <w:rPr>
          <w:sz w:val="21"/>
        </w:rPr>
      </w:pPr>
    </w:p>
    <w:p w14:paraId="5263C150" w14:textId="37519120" w:rsidR="00D72E29" w:rsidRDefault="00424994" w:rsidP="00B11469">
      <w:pPr>
        <w:pStyle w:val="BodyText"/>
        <w:ind w:left="527"/>
      </w:pPr>
      <w:r>
        <w:t xml:space="preserve">(Relevant section of the manual is Part </w:t>
      </w:r>
      <w:r w:rsidR="00B11469">
        <w:t>5</w:t>
      </w:r>
      <w:r>
        <w:t xml:space="preserve"> Chapter 1.</w:t>
      </w:r>
      <w:r w:rsidR="00E90B5D">
        <w:t>2.</w:t>
      </w:r>
      <w:r w:rsidR="00B11469">
        <w:t>7</w:t>
      </w:r>
      <w:r>
        <w:t>)</w:t>
      </w:r>
    </w:p>
    <w:p w14:paraId="7D9E9CC9" w14:textId="77777777" w:rsidR="00D72E29" w:rsidRDefault="00D72E29" w:rsidP="00AB46AC">
      <w:pPr>
        <w:pStyle w:val="BodyText"/>
      </w:pPr>
    </w:p>
    <w:sectPr w:rsidR="00D72E29" w:rsidSect="00B11469">
      <w:headerReference w:type="default" r:id="rId9"/>
      <w:footerReference w:type="default" r:id="rId10"/>
      <w:type w:val="continuous"/>
      <w:pgSz w:w="11910" w:h="16840"/>
      <w:pgMar w:top="2200" w:right="160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DC0D" w14:textId="77777777" w:rsidR="00B8212A" w:rsidRDefault="00B8212A">
      <w:r>
        <w:separator/>
      </w:r>
    </w:p>
  </w:endnote>
  <w:endnote w:type="continuationSeparator" w:id="0">
    <w:p w14:paraId="5DC8BB74" w14:textId="77777777" w:rsidR="00B8212A" w:rsidRDefault="00B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58D170FB" w:rsidR="00C344E3" w:rsidRDefault="00C344E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77777777" w:rsidR="00424994" w:rsidRDefault="004249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5506" w14:textId="77777777" w:rsidR="00B8212A" w:rsidRDefault="00B8212A">
      <w:r>
        <w:separator/>
      </w:r>
    </w:p>
  </w:footnote>
  <w:footnote w:type="continuationSeparator" w:id="0">
    <w:p w14:paraId="7178283D" w14:textId="77777777" w:rsidR="00B8212A" w:rsidRDefault="00B8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F387" w14:textId="2465D575" w:rsidR="00853B63" w:rsidRDefault="00853B63" w:rsidP="00853B63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487491072" behindDoc="0" locked="0" layoutInCell="1" allowOverlap="1" wp14:anchorId="2EBE38EF" wp14:editId="2668FAA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1D7D5F8E" w14:textId="77777777" w:rsidR="00853B63" w:rsidRDefault="00853B63" w:rsidP="00853B63">
    <w:pPr>
      <w:jc w:val="right"/>
      <w:rPr>
        <w:b/>
        <w:bCs/>
      </w:rPr>
    </w:pPr>
    <w:r>
      <w:t xml:space="preserve">60 Goswell Road </w:t>
    </w:r>
  </w:p>
  <w:p w14:paraId="6DC7986F" w14:textId="77777777" w:rsidR="00853B63" w:rsidRDefault="00853B63" w:rsidP="00853B63">
    <w:pPr>
      <w:jc w:val="right"/>
      <w:rPr>
        <w:b/>
        <w:bCs/>
      </w:rPr>
    </w:pPr>
    <w:r>
      <w:t xml:space="preserve">London </w:t>
    </w:r>
  </w:p>
  <w:p w14:paraId="1D2FCFF7" w14:textId="77777777" w:rsidR="00853B63" w:rsidRDefault="00853B63" w:rsidP="00853B63">
    <w:pPr>
      <w:jc w:val="right"/>
      <w:rPr>
        <w:b/>
        <w:bCs/>
      </w:rPr>
    </w:pPr>
    <w:r>
      <w:t xml:space="preserve">EC1M 7AD </w:t>
    </w:r>
  </w:p>
  <w:p w14:paraId="4E49F119" w14:textId="77777777" w:rsidR="00853B63" w:rsidRDefault="00853B63" w:rsidP="00853B63">
    <w:pPr>
      <w:jc w:val="right"/>
      <w:rPr>
        <w:b/>
        <w:bCs/>
      </w:rPr>
    </w:pPr>
    <w:r>
      <w:t xml:space="preserve">T: +44 (0) 20 7247 1452 </w:t>
    </w:r>
  </w:p>
  <w:p w14:paraId="05B33908" w14:textId="77777777" w:rsidR="00853B63" w:rsidRDefault="00853B63" w:rsidP="00853B63">
    <w:pPr>
      <w:jc w:val="right"/>
      <w:rPr>
        <w:b/>
        <w:bCs/>
      </w:rPr>
    </w:pPr>
    <w:r>
      <w:t>W: www.pensions-pmi.org.uk</w:t>
    </w:r>
  </w:p>
  <w:p w14:paraId="1121A08A" w14:textId="2C10D388" w:rsidR="00C344E3" w:rsidRDefault="00C344E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3669FF"/>
    <w:multiLevelType w:val="hybridMultilevel"/>
    <w:tmpl w:val="29285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01D40"/>
    <w:multiLevelType w:val="hybridMultilevel"/>
    <w:tmpl w:val="7C30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22E">
      <w:numFmt w:val="bullet"/>
      <w:lvlText w:val="•"/>
      <w:lvlJc w:val="left"/>
      <w:pPr>
        <w:ind w:left="2160" w:hanging="360"/>
      </w:pPr>
      <w:rPr>
        <w:rFonts w:ascii="Carlito" w:eastAsia="Carlito" w:hAnsi="Carlito" w:cs="Carlit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9AC"/>
    <w:multiLevelType w:val="hybridMultilevel"/>
    <w:tmpl w:val="DB2A9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2D61"/>
    <w:multiLevelType w:val="hybridMultilevel"/>
    <w:tmpl w:val="6FA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609"/>
    <w:multiLevelType w:val="hybridMultilevel"/>
    <w:tmpl w:val="582A9FF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6323F"/>
    <w:multiLevelType w:val="hybridMultilevel"/>
    <w:tmpl w:val="96A8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714"/>
    <w:multiLevelType w:val="hybridMultilevel"/>
    <w:tmpl w:val="36745D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3" w15:restartNumberingAfterBreak="0">
    <w:nsid w:val="5F5F163A"/>
    <w:multiLevelType w:val="hybridMultilevel"/>
    <w:tmpl w:val="A3E89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E3C1C"/>
    <w:multiLevelType w:val="hybridMultilevel"/>
    <w:tmpl w:val="E68C06E6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15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20A06"/>
    <w:rsid w:val="000C48DE"/>
    <w:rsid w:val="000E6648"/>
    <w:rsid w:val="00153CCA"/>
    <w:rsid w:val="0028210C"/>
    <w:rsid w:val="00285040"/>
    <w:rsid w:val="002D6DB9"/>
    <w:rsid w:val="002E547D"/>
    <w:rsid w:val="003718CB"/>
    <w:rsid w:val="00375070"/>
    <w:rsid w:val="00407424"/>
    <w:rsid w:val="00424994"/>
    <w:rsid w:val="00680A48"/>
    <w:rsid w:val="006C6E78"/>
    <w:rsid w:val="007722D3"/>
    <w:rsid w:val="007D405B"/>
    <w:rsid w:val="007F530F"/>
    <w:rsid w:val="00815621"/>
    <w:rsid w:val="00853B63"/>
    <w:rsid w:val="0086205F"/>
    <w:rsid w:val="008C4CFA"/>
    <w:rsid w:val="00995E47"/>
    <w:rsid w:val="009A1962"/>
    <w:rsid w:val="009D5026"/>
    <w:rsid w:val="00AB46AC"/>
    <w:rsid w:val="00B11469"/>
    <w:rsid w:val="00B8212A"/>
    <w:rsid w:val="00C344E3"/>
    <w:rsid w:val="00C367D1"/>
    <w:rsid w:val="00C739BD"/>
    <w:rsid w:val="00D16503"/>
    <w:rsid w:val="00D43626"/>
    <w:rsid w:val="00D72E29"/>
    <w:rsid w:val="00DF0CCF"/>
    <w:rsid w:val="00E90B5D"/>
    <w:rsid w:val="00E91786"/>
    <w:rsid w:val="00EC5327"/>
    <w:rsid w:val="00F17FF0"/>
    <w:rsid w:val="00F5163C"/>
    <w:rsid w:val="00FB16AA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4</cp:revision>
  <dcterms:created xsi:type="dcterms:W3CDTF">2021-10-28T19:34:00Z</dcterms:created>
  <dcterms:modified xsi:type="dcterms:W3CDTF">2021-11-16T15:19:00Z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