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540" w14:textId="77777777" w:rsidR="00C344E3" w:rsidRDefault="00C344E3">
      <w:pPr>
        <w:pStyle w:val="BodyText"/>
        <w:rPr>
          <w:rFonts w:ascii="Times New Roman"/>
          <w:sz w:val="20"/>
        </w:rPr>
      </w:pPr>
    </w:p>
    <w:p w14:paraId="18A3C565" w14:textId="77777777" w:rsidR="00C344E3" w:rsidRDefault="00C344E3">
      <w:pPr>
        <w:pStyle w:val="BodyText"/>
        <w:rPr>
          <w:rFonts w:ascii="Times New Roman"/>
          <w:sz w:val="20"/>
        </w:rPr>
      </w:pPr>
    </w:p>
    <w:p w14:paraId="5DD86F8F" w14:textId="77777777" w:rsidR="00C344E3" w:rsidRDefault="00C344E3">
      <w:pPr>
        <w:pStyle w:val="BodyText"/>
        <w:spacing w:before="9"/>
        <w:rPr>
          <w:rFonts w:ascii="Times New Roman"/>
          <w:sz w:val="21"/>
        </w:rPr>
      </w:pPr>
    </w:p>
    <w:p w14:paraId="533C9FCF" w14:textId="77777777" w:rsidR="00C344E3" w:rsidRDefault="00C739BD">
      <w:pPr>
        <w:pStyle w:val="Title"/>
      </w:pPr>
      <w:r>
        <w:t>Core Unit 2 – Regulation of Retirement Provision</w:t>
      </w:r>
    </w:p>
    <w:p w14:paraId="57CBA064" w14:textId="2A4B8093" w:rsidR="00C344E3" w:rsidRDefault="00401AEA">
      <w:pPr>
        <w:spacing w:before="66"/>
        <w:ind w:left="905" w:right="902"/>
        <w:jc w:val="center"/>
        <w:rPr>
          <w:sz w:val="28"/>
        </w:rPr>
      </w:pPr>
      <w:r>
        <w:rPr>
          <w:sz w:val="28"/>
        </w:rPr>
        <w:t>Mock Examination</w:t>
      </w:r>
      <w:r w:rsidR="00C739BD">
        <w:rPr>
          <w:sz w:val="28"/>
        </w:rPr>
        <w:t xml:space="preserve"> Notes</w:t>
      </w:r>
    </w:p>
    <w:p w14:paraId="616E5155" w14:textId="77777777" w:rsidR="00C344E3" w:rsidRDefault="00C739BD">
      <w:pPr>
        <w:spacing w:before="1"/>
        <w:ind w:left="881" w:right="905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60331CBE" w14:textId="77777777" w:rsidR="00C344E3" w:rsidRDefault="00C344E3">
      <w:pPr>
        <w:pStyle w:val="BodyText"/>
        <w:rPr>
          <w:i/>
          <w:sz w:val="16"/>
        </w:rPr>
      </w:pPr>
    </w:p>
    <w:p w14:paraId="45C777D3" w14:textId="77777777" w:rsidR="00C344E3" w:rsidRDefault="00C344E3">
      <w:pPr>
        <w:pStyle w:val="BodyText"/>
        <w:spacing w:before="10"/>
        <w:rPr>
          <w:i/>
          <w:sz w:val="11"/>
        </w:rPr>
      </w:pPr>
    </w:p>
    <w:p w14:paraId="104CB1EC" w14:textId="43206CCA" w:rsidR="00C344E3" w:rsidRDefault="001379D5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The powers of </w:t>
      </w:r>
      <w:r w:rsidR="00611605">
        <w:t xml:space="preserve">the </w:t>
      </w:r>
      <w:r>
        <w:t>P</w:t>
      </w:r>
      <w:r w:rsidR="00611605">
        <w:t xml:space="preserve">ensions </w:t>
      </w:r>
      <w:r>
        <w:t>R</w:t>
      </w:r>
      <w:r w:rsidR="00611605">
        <w:t>egulator</w:t>
      </w:r>
      <w:r>
        <w:t xml:space="preserve"> are defined in statute. Outline the additions to and adjustmen</w:t>
      </w:r>
      <w:r w:rsidR="00611605">
        <w:t>t</w:t>
      </w:r>
      <w:r>
        <w:t xml:space="preserve">s of the TPR’s current powers </w:t>
      </w:r>
      <w:r w:rsidR="00611605">
        <w:t xml:space="preserve">following </w:t>
      </w:r>
      <w:r w:rsidR="000950AD">
        <w:t xml:space="preserve">the </w:t>
      </w:r>
      <w:r>
        <w:t>Pension Schemes Act</w:t>
      </w:r>
      <w:r w:rsidR="00611605">
        <w:t xml:space="preserve"> 2021, and provide examples of the regulatory action that can be taken TPR can take to protect the security of members’ </w:t>
      </w:r>
      <w:r w:rsidR="000B0917">
        <w:t>benefits.</w:t>
      </w:r>
    </w:p>
    <w:p w14:paraId="17CCD11A" w14:textId="135904D0" w:rsidR="00C344E3" w:rsidRPr="00EC5327" w:rsidRDefault="002E547D" w:rsidP="00EC5327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</w:t>
      </w:r>
      <w:r w:rsidR="00C739BD">
        <w:rPr>
          <w:b/>
          <w:sz w:val="18"/>
        </w:rPr>
        <w:t xml:space="preserve"> marks</w:t>
      </w:r>
    </w:p>
    <w:p w14:paraId="277E98CE" w14:textId="77777777" w:rsidR="00C344E3" w:rsidRDefault="00C739BD">
      <w:pPr>
        <w:pStyle w:val="BodyText"/>
        <w:spacing w:before="64"/>
        <w:ind w:left="527"/>
      </w:pPr>
      <w:r>
        <w:t>Answer should cover:</w:t>
      </w:r>
    </w:p>
    <w:p w14:paraId="3EB8DFD1" w14:textId="77777777" w:rsidR="00C344E3" w:rsidRDefault="00C344E3">
      <w:pPr>
        <w:pStyle w:val="BodyText"/>
        <w:spacing w:before="11"/>
        <w:rPr>
          <w:sz w:val="17"/>
        </w:rPr>
      </w:pPr>
    </w:p>
    <w:p w14:paraId="2778815D" w14:textId="50449687" w:rsidR="000E6648" w:rsidRDefault="00611605" w:rsidP="000E6648">
      <w:pPr>
        <w:pStyle w:val="BodyText"/>
        <w:numPr>
          <w:ilvl w:val="0"/>
          <w:numId w:val="5"/>
        </w:numPr>
        <w:spacing w:before="11"/>
      </w:pPr>
      <w:r>
        <w:t>Additions/adjustments to powers</w:t>
      </w:r>
      <w:r w:rsidR="000E6648">
        <w:t>:</w:t>
      </w:r>
    </w:p>
    <w:p w14:paraId="3D92FE28" w14:textId="6083C767" w:rsidR="00611605" w:rsidRDefault="00611605" w:rsidP="00611605">
      <w:pPr>
        <w:pStyle w:val="BodyText"/>
        <w:numPr>
          <w:ilvl w:val="1"/>
          <w:numId w:val="5"/>
        </w:numPr>
        <w:spacing w:before="11"/>
      </w:pPr>
      <w:r>
        <w:t>The threat of the new criminal offences may pose real challenges to decision making by company directors and wider stakeholders in businesses sponsoring DB schemes;</w:t>
      </w:r>
    </w:p>
    <w:p w14:paraId="52E29793" w14:textId="40334578" w:rsidR="00611605" w:rsidRDefault="00611605" w:rsidP="00611605">
      <w:pPr>
        <w:pStyle w:val="BodyText"/>
        <w:numPr>
          <w:ilvl w:val="1"/>
          <w:numId w:val="5"/>
        </w:numPr>
        <w:spacing w:before="11"/>
      </w:pPr>
      <w:r>
        <w:t xml:space="preserve"> The offences have a much wider scope than those guilty of ‘willful or reckless behaviour in relation to a pension scheme’ </w:t>
      </w:r>
    </w:p>
    <w:p w14:paraId="59DDC83B" w14:textId="44D390FF" w:rsidR="00611605" w:rsidRDefault="00611605" w:rsidP="00611605">
      <w:pPr>
        <w:pStyle w:val="BodyText"/>
        <w:numPr>
          <w:ilvl w:val="1"/>
          <w:numId w:val="5"/>
        </w:numPr>
        <w:spacing w:before="11"/>
      </w:pPr>
      <w:r>
        <w:t>Criminal penalties include unlimited fines and up to seven years in jail.</w:t>
      </w:r>
    </w:p>
    <w:p w14:paraId="715E7940" w14:textId="25D86026" w:rsidR="00611605" w:rsidRDefault="00611605" w:rsidP="00611605">
      <w:pPr>
        <w:pStyle w:val="BodyText"/>
        <w:numPr>
          <w:ilvl w:val="1"/>
          <w:numId w:val="5"/>
        </w:numPr>
        <w:spacing w:before="11"/>
      </w:pPr>
      <w:r>
        <w:t>The new contribution notice tests mean there will be the need for greater governance oversight and due diligence around dividend payments, refinancing and restructuring – by both company directors and by trustees.</w:t>
      </w:r>
    </w:p>
    <w:p w14:paraId="5A10D85E" w14:textId="457FC00B" w:rsidR="00611605" w:rsidRDefault="00611605" w:rsidP="00611605">
      <w:pPr>
        <w:pStyle w:val="BodyText"/>
        <w:numPr>
          <w:ilvl w:val="1"/>
          <w:numId w:val="5"/>
        </w:numPr>
        <w:spacing w:before="11"/>
      </w:pPr>
      <w:r>
        <w:t xml:space="preserve">There may be a need to consider mitigation to the pension scheme under a wider range of corporate activities. </w:t>
      </w:r>
    </w:p>
    <w:p w14:paraId="57BA0D48" w14:textId="568AB30B" w:rsidR="00815621" w:rsidRDefault="00611605" w:rsidP="00611605">
      <w:pPr>
        <w:pStyle w:val="BodyText"/>
        <w:numPr>
          <w:ilvl w:val="0"/>
          <w:numId w:val="5"/>
        </w:numPr>
        <w:spacing w:before="11"/>
      </w:pPr>
      <w:r>
        <w:t>TPR actions to put things right (state 5 from the following)</w:t>
      </w:r>
      <w:r w:rsidR="00815621">
        <w:t>:</w:t>
      </w:r>
    </w:p>
    <w:p w14:paraId="2E29A909" w14:textId="42CD32C2" w:rsidR="00611605" w:rsidRDefault="00611605" w:rsidP="00611605">
      <w:pPr>
        <w:pStyle w:val="BodyText"/>
        <w:numPr>
          <w:ilvl w:val="1"/>
          <w:numId w:val="5"/>
        </w:numPr>
        <w:spacing w:before="11"/>
      </w:pPr>
      <w:r>
        <w:t>issue an ‘improvement notice’ to individuals or companies, or a ‘third party notice’, requiring specific action to be taken within a certain time;</w:t>
      </w:r>
    </w:p>
    <w:p w14:paraId="22549B33" w14:textId="38354802" w:rsidR="00611605" w:rsidRDefault="00611605" w:rsidP="00611605">
      <w:pPr>
        <w:pStyle w:val="BodyText"/>
        <w:numPr>
          <w:ilvl w:val="1"/>
          <w:numId w:val="5"/>
        </w:numPr>
        <w:spacing w:before="11"/>
      </w:pPr>
      <w:r>
        <w:t>take action, on behalf of a scheme, to recover unpaid contributions from the employer if the due date for payment has passed;</w:t>
      </w:r>
    </w:p>
    <w:p w14:paraId="52CDF667" w14:textId="373F7071" w:rsidR="00611605" w:rsidRDefault="00611605" w:rsidP="00611605">
      <w:pPr>
        <w:pStyle w:val="BodyText"/>
        <w:numPr>
          <w:ilvl w:val="1"/>
          <w:numId w:val="5"/>
        </w:numPr>
        <w:spacing w:before="11"/>
      </w:pPr>
      <w:r>
        <w:t>where a wind-up is pending and members’ interests may be at risk, it can issue a ‘freezing order’; this order temporarily halts all activity within the scheme, so that it can investigate concerns and encourage negotiations;</w:t>
      </w:r>
    </w:p>
    <w:p w14:paraId="4272A575" w14:textId="26AE3A52" w:rsidR="00611605" w:rsidRDefault="00611605" w:rsidP="00611605">
      <w:pPr>
        <w:pStyle w:val="BodyText"/>
        <w:numPr>
          <w:ilvl w:val="1"/>
          <w:numId w:val="5"/>
        </w:numPr>
        <w:spacing w:before="11"/>
      </w:pPr>
      <w:r>
        <w:t>prohibition of trustees who it does not consider to be fit and proper persons for the role;</w:t>
      </w:r>
    </w:p>
    <w:p w14:paraId="434263C1" w14:textId="73109EED" w:rsidR="00611605" w:rsidRDefault="00611605" w:rsidP="00611605">
      <w:pPr>
        <w:pStyle w:val="BodyText"/>
        <w:numPr>
          <w:ilvl w:val="1"/>
          <w:numId w:val="5"/>
        </w:numPr>
        <w:spacing w:before="11"/>
      </w:pPr>
      <w:r>
        <w:t>imposition of fines where breaches have occurred; and</w:t>
      </w:r>
    </w:p>
    <w:p w14:paraId="2F457936" w14:textId="7AE80C62" w:rsidR="00611605" w:rsidRDefault="00611605" w:rsidP="00611605">
      <w:pPr>
        <w:pStyle w:val="BodyText"/>
        <w:numPr>
          <w:ilvl w:val="1"/>
          <w:numId w:val="5"/>
        </w:numPr>
        <w:spacing w:before="11"/>
        <w:rPr>
          <w:sz w:val="21"/>
        </w:rPr>
      </w:pPr>
      <w:r>
        <w:t>prosecution of certain offences in the criminal courts.</w:t>
      </w:r>
    </w:p>
    <w:p w14:paraId="3330189E" w14:textId="7D0562A8" w:rsidR="00611605" w:rsidRPr="00611605" w:rsidRDefault="00611605" w:rsidP="00611605">
      <w:pPr>
        <w:pStyle w:val="BodyText"/>
        <w:spacing w:before="11"/>
        <w:ind w:left="1440"/>
        <w:rPr>
          <w:sz w:val="21"/>
        </w:rPr>
      </w:pPr>
    </w:p>
    <w:p w14:paraId="013B62C0" w14:textId="36D3DD41" w:rsidR="00C344E3" w:rsidRDefault="00C739BD" w:rsidP="002D6DB9">
      <w:pPr>
        <w:pStyle w:val="BodyText"/>
        <w:ind w:left="527"/>
      </w:pPr>
      <w:r>
        <w:t xml:space="preserve">(Relevant section of the manual is Part </w:t>
      </w:r>
      <w:r w:rsidR="000950AD">
        <w:t>1</w:t>
      </w:r>
      <w:r>
        <w:t xml:space="preserve"> Chapter </w:t>
      </w:r>
      <w:r w:rsidR="00611605">
        <w:t>3.2.1</w:t>
      </w:r>
      <w:r w:rsidR="000E6648">
        <w:t>)</w:t>
      </w:r>
    </w:p>
    <w:p w14:paraId="38B92CA7" w14:textId="77777777" w:rsidR="002D6DB9" w:rsidRDefault="002D6DB9" w:rsidP="002D6DB9">
      <w:pPr>
        <w:pStyle w:val="BodyText"/>
        <w:ind w:left="527"/>
        <w:rPr>
          <w:sz w:val="19"/>
        </w:rPr>
      </w:pPr>
    </w:p>
    <w:p w14:paraId="5E4815B2" w14:textId="786E3E97" w:rsidR="00C344E3" w:rsidRDefault="000950AD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>Outline the relevance of the Human Rights Act 1998 to occupational pension schemes.</w:t>
      </w:r>
    </w:p>
    <w:p w14:paraId="43F72945" w14:textId="490CAE10" w:rsidR="00C344E3" w:rsidRPr="00EC5327" w:rsidRDefault="00C739BD" w:rsidP="00EC5327">
      <w:pPr>
        <w:spacing w:line="219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5 marks</w:t>
      </w:r>
    </w:p>
    <w:p w14:paraId="7BF70EA2" w14:textId="77777777" w:rsidR="00C344E3" w:rsidRDefault="00C739BD">
      <w:pPr>
        <w:pStyle w:val="BodyText"/>
        <w:spacing w:before="64"/>
        <w:ind w:left="527"/>
      </w:pPr>
      <w:r>
        <w:t>Answer should cover:</w:t>
      </w:r>
    </w:p>
    <w:p w14:paraId="773F9111" w14:textId="32A44639" w:rsidR="004D4284" w:rsidRDefault="004D4284" w:rsidP="004D4284">
      <w:pPr>
        <w:pStyle w:val="BodyText"/>
      </w:pPr>
    </w:p>
    <w:p w14:paraId="1F3346F6" w14:textId="0ECC1F14" w:rsidR="000950AD" w:rsidRDefault="000950AD" w:rsidP="000950AD">
      <w:pPr>
        <w:pStyle w:val="BodyText"/>
        <w:numPr>
          <w:ilvl w:val="0"/>
          <w:numId w:val="20"/>
        </w:numPr>
      </w:pPr>
      <w:r>
        <w:t>Act came into force on 2 October 2000;</w:t>
      </w:r>
    </w:p>
    <w:p w14:paraId="13606E9D" w14:textId="77777777" w:rsidR="000950AD" w:rsidRDefault="000950AD" w:rsidP="000950AD">
      <w:pPr>
        <w:pStyle w:val="BodyText"/>
        <w:numPr>
          <w:ilvl w:val="0"/>
          <w:numId w:val="20"/>
        </w:numPr>
      </w:pPr>
      <w:r>
        <w:t>Act only applies to public bodies, so it includes public sector pension arrangements but (generally) does not include private sector pension arrangements;</w:t>
      </w:r>
    </w:p>
    <w:p w14:paraId="6A02147E" w14:textId="77777777" w:rsidR="000950AD" w:rsidRDefault="000950AD" w:rsidP="000950AD">
      <w:pPr>
        <w:pStyle w:val="BodyText"/>
        <w:numPr>
          <w:ilvl w:val="0"/>
          <w:numId w:val="20"/>
        </w:numPr>
      </w:pPr>
      <w:r>
        <w:t>Members of public sector schemes may be able to bring direct claims against the scheme’s trustees and/or sponsoring employers to enforce their human rights;</w:t>
      </w:r>
    </w:p>
    <w:p w14:paraId="5D17141A" w14:textId="10F7FF98" w:rsidR="000950AD" w:rsidRDefault="000950AD" w:rsidP="000950AD">
      <w:pPr>
        <w:pStyle w:val="BodyText"/>
        <w:numPr>
          <w:ilvl w:val="0"/>
          <w:numId w:val="20"/>
        </w:numPr>
      </w:pPr>
      <w:r>
        <w:t>Members of private sector schemes (generally) will not be able to bring direct claims against the scheme’s trustees and/or sponsoring employers to enforce their human rights;</w:t>
      </w:r>
    </w:p>
    <w:p w14:paraId="2A3D1D61" w14:textId="65F30967" w:rsidR="004D4284" w:rsidRDefault="000950AD" w:rsidP="000950AD">
      <w:pPr>
        <w:pStyle w:val="BodyText"/>
        <w:numPr>
          <w:ilvl w:val="0"/>
          <w:numId w:val="20"/>
        </w:numPr>
      </w:pPr>
      <w:r>
        <w:t>Act also applies to Court proceedings, the actions of the Pensions Regulator (TPR), investigations by the Pensions Ombudsman and to UK legislation, which must be read in a way that is compatible with the Human Rights Act 1998.</w:t>
      </w:r>
    </w:p>
    <w:p w14:paraId="37BCA962" w14:textId="77777777" w:rsidR="000950AD" w:rsidRDefault="000950AD" w:rsidP="000950AD">
      <w:pPr>
        <w:pStyle w:val="BodyText"/>
        <w:ind w:left="1247"/>
      </w:pPr>
    </w:p>
    <w:p w14:paraId="57C7090A" w14:textId="78DBD9A1" w:rsidR="00C344E3" w:rsidRDefault="00AB46AC">
      <w:pPr>
        <w:pStyle w:val="BodyText"/>
        <w:ind w:left="527"/>
      </w:pPr>
      <w:r>
        <w:t>(</w:t>
      </w:r>
      <w:r w:rsidR="00C739BD">
        <w:t xml:space="preserve">Relevant section of the manual is Part </w:t>
      </w:r>
      <w:r w:rsidR="000950AD">
        <w:t>3</w:t>
      </w:r>
      <w:r w:rsidR="00C739BD">
        <w:t xml:space="preserve"> Chapter </w:t>
      </w:r>
      <w:r w:rsidR="000950AD">
        <w:t>1.3</w:t>
      </w:r>
      <w:r w:rsidR="002D6DB9">
        <w:t>)</w:t>
      </w:r>
    </w:p>
    <w:p w14:paraId="2538FF95" w14:textId="16B1C7FB" w:rsidR="000950AD" w:rsidRDefault="000950AD">
      <w:pPr>
        <w:pStyle w:val="BodyText"/>
        <w:ind w:left="527"/>
      </w:pPr>
    </w:p>
    <w:p w14:paraId="3D519B49" w14:textId="77777777" w:rsidR="000950AD" w:rsidRDefault="000950AD">
      <w:pPr>
        <w:pStyle w:val="BodyText"/>
        <w:ind w:left="527"/>
      </w:pPr>
    </w:p>
    <w:p w14:paraId="21A673AC" w14:textId="77777777" w:rsidR="004D4284" w:rsidRDefault="004D4284">
      <w:pPr>
        <w:pStyle w:val="BodyText"/>
        <w:ind w:left="527"/>
      </w:pPr>
    </w:p>
    <w:p w14:paraId="0B7152F0" w14:textId="77777777" w:rsidR="00B11469" w:rsidRDefault="00B11469">
      <w:pPr>
        <w:pStyle w:val="BodyText"/>
        <w:ind w:left="527"/>
      </w:pPr>
    </w:p>
    <w:p w14:paraId="09B2A4EB" w14:textId="56088BC0" w:rsidR="00C344E3" w:rsidRDefault="00C344E3">
      <w:pPr>
        <w:pStyle w:val="BodyText"/>
        <w:rPr>
          <w:sz w:val="20"/>
        </w:rPr>
      </w:pPr>
    </w:p>
    <w:p w14:paraId="20E62795" w14:textId="38894902" w:rsidR="0081034F" w:rsidRDefault="0081034F">
      <w:pPr>
        <w:pStyle w:val="BodyText"/>
        <w:rPr>
          <w:sz w:val="20"/>
        </w:rPr>
      </w:pPr>
    </w:p>
    <w:p w14:paraId="05C2AF51" w14:textId="77777777" w:rsidR="0081034F" w:rsidRDefault="0081034F">
      <w:pPr>
        <w:pStyle w:val="BodyText"/>
        <w:rPr>
          <w:sz w:val="20"/>
        </w:rPr>
      </w:pPr>
    </w:p>
    <w:p w14:paraId="77D6CD66" w14:textId="7D6E4996" w:rsidR="00C344E3" w:rsidRDefault="000950AD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63"/>
        <w:ind w:hanging="361"/>
      </w:pPr>
      <w:r>
        <w:t>Briefly describe the two main categories of trusts and the criteria that must be present in order for a trust to be valid</w:t>
      </w:r>
      <w:r w:rsidR="00C739BD">
        <w:t>.</w:t>
      </w:r>
      <w:r w:rsidR="00AB46AC">
        <w:tab/>
      </w:r>
    </w:p>
    <w:p w14:paraId="0692B85F" w14:textId="77777777" w:rsidR="00C344E3" w:rsidRDefault="00C344E3">
      <w:pPr>
        <w:pStyle w:val="BodyText"/>
        <w:spacing w:before="6"/>
        <w:rPr>
          <w:b/>
          <w:sz w:val="23"/>
        </w:rPr>
      </w:pPr>
    </w:p>
    <w:p w14:paraId="35036DB1" w14:textId="19ADEEB0" w:rsidR="00AB46AC" w:rsidRDefault="00AB46AC" w:rsidP="00AB46AC">
      <w:pPr>
        <w:pStyle w:val="BodyText"/>
        <w:ind w:left="7768" w:firstLine="152"/>
        <w:rPr>
          <w:b/>
          <w:bCs/>
        </w:rPr>
      </w:pPr>
      <w:r>
        <w:rPr>
          <w:b/>
          <w:bCs/>
        </w:rPr>
        <w:t>5 marks</w:t>
      </w:r>
    </w:p>
    <w:p w14:paraId="45B7C0CB" w14:textId="049A724F" w:rsidR="00C344E3" w:rsidRDefault="00C739BD">
      <w:pPr>
        <w:pStyle w:val="BodyText"/>
        <w:ind w:left="568"/>
      </w:pPr>
      <w:r>
        <w:t xml:space="preserve">Answer should </w:t>
      </w:r>
      <w:r w:rsidR="00F5163C">
        <w:t>cover</w:t>
      </w:r>
      <w:r>
        <w:t>:</w:t>
      </w:r>
    </w:p>
    <w:p w14:paraId="4FC8E9F3" w14:textId="77777777" w:rsidR="00D72E29" w:rsidRDefault="00D72E29">
      <w:pPr>
        <w:pStyle w:val="BodyText"/>
        <w:ind w:left="568"/>
      </w:pPr>
    </w:p>
    <w:p w14:paraId="704756FA" w14:textId="049C8C9C" w:rsidR="00F5163C" w:rsidRDefault="000950AD" w:rsidP="00F5163C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ind w:right="102"/>
        <w:rPr>
          <w:sz w:val="18"/>
          <w:szCs w:val="18"/>
        </w:rPr>
      </w:pPr>
      <w:r>
        <w:rPr>
          <w:sz w:val="18"/>
          <w:szCs w:val="18"/>
        </w:rPr>
        <w:t>Categories of trust</w:t>
      </w:r>
      <w:r w:rsidR="00F5163C">
        <w:rPr>
          <w:sz w:val="18"/>
          <w:szCs w:val="18"/>
        </w:rPr>
        <w:t>:</w:t>
      </w:r>
    </w:p>
    <w:p w14:paraId="7D3BEB23" w14:textId="77777777" w:rsidR="000D37CE" w:rsidRDefault="000D37CE" w:rsidP="000D37CE">
      <w:pPr>
        <w:pStyle w:val="ListParagraph"/>
        <w:numPr>
          <w:ilvl w:val="1"/>
          <w:numId w:val="13"/>
        </w:numPr>
        <w:tabs>
          <w:tab w:val="left" w:pos="1540"/>
          <w:tab w:val="left" w:pos="1541"/>
        </w:tabs>
        <w:ind w:right="102"/>
        <w:rPr>
          <w:sz w:val="18"/>
          <w:szCs w:val="18"/>
        </w:rPr>
      </w:pPr>
      <w:r w:rsidRPr="000D37CE">
        <w:rPr>
          <w:sz w:val="18"/>
          <w:szCs w:val="18"/>
        </w:rPr>
        <w:t xml:space="preserve">Private trusts - trusts for the benefit of an individual or class of persons; </w:t>
      </w:r>
    </w:p>
    <w:p w14:paraId="30CE8EDD" w14:textId="77777777" w:rsidR="000D37CE" w:rsidRDefault="000D37CE" w:rsidP="000D37CE">
      <w:pPr>
        <w:pStyle w:val="ListParagraph"/>
        <w:numPr>
          <w:ilvl w:val="1"/>
          <w:numId w:val="13"/>
        </w:numPr>
        <w:tabs>
          <w:tab w:val="left" w:pos="1540"/>
          <w:tab w:val="left" w:pos="1541"/>
        </w:tabs>
        <w:ind w:right="102"/>
        <w:rPr>
          <w:sz w:val="18"/>
          <w:szCs w:val="18"/>
        </w:rPr>
      </w:pPr>
      <w:r w:rsidRPr="000D37CE">
        <w:rPr>
          <w:sz w:val="18"/>
          <w:szCs w:val="18"/>
        </w:rPr>
        <w:t>Public trusts - trusts established for some charitable purpos</w:t>
      </w:r>
      <w:r>
        <w:rPr>
          <w:sz w:val="18"/>
          <w:szCs w:val="18"/>
        </w:rPr>
        <w:t>e.</w:t>
      </w:r>
    </w:p>
    <w:p w14:paraId="4DFE9B82" w14:textId="39EC142B" w:rsidR="00F5163C" w:rsidRDefault="000950AD" w:rsidP="000D37CE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ind w:right="102"/>
        <w:rPr>
          <w:sz w:val="18"/>
          <w:szCs w:val="18"/>
        </w:rPr>
      </w:pPr>
      <w:r>
        <w:rPr>
          <w:sz w:val="18"/>
          <w:szCs w:val="18"/>
        </w:rPr>
        <w:t>Criteria present for a trust to be valid (“the three certainties”)</w:t>
      </w:r>
      <w:r w:rsidR="00F5163C">
        <w:rPr>
          <w:sz w:val="18"/>
          <w:szCs w:val="18"/>
        </w:rPr>
        <w:t>:</w:t>
      </w:r>
    </w:p>
    <w:p w14:paraId="51C34490" w14:textId="4B2A3BDA" w:rsidR="000D37CE" w:rsidRPr="000D37CE" w:rsidRDefault="000D37CE" w:rsidP="000D37CE">
      <w:pPr>
        <w:pStyle w:val="ListParagraph"/>
        <w:numPr>
          <w:ilvl w:val="1"/>
          <w:numId w:val="13"/>
        </w:numPr>
        <w:tabs>
          <w:tab w:val="left" w:pos="1540"/>
          <w:tab w:val="left" w:pos="1541"/>
        </w:tabs>
        <w:ind w:right="102"/>
        <w:rPr>
          <w:sz w:val="18"/>
        </w:rPr>
      </w:pPr>
      <w:r w:rsidRPr="000D37CE">
        <w:rPr>
          <w:sz w:val="18"/>
          <w:szCs w:val="18"/>
        </w:rPr>
        <w:t xml:space="preserve">certainty of intention - the settlor must show a clear intention to create a trust; </w:t>
      </w:r>
    </w:p>
    <w:p w14:paraId="0402F9FC" w14:textId="77777777" w:rsidR="000D37CE" w:rsidRPr="000D37CE" w:rsidRDefault="000D37CE" w:rsidP="000D37CE">
      <w:pPr>
        <w:pStyle w:val="ListParagraph"/>
        <w:numPr>
          <w:ilvl w:val="1"/>
          <w:numId w:val="13"/>
        </w:numPr>
        <w:tabs>
          <w:tab w:val="left" w:pos="1540"/>
          <w:tab w:val="left" w:pos="1541"/>
        </w:tabs>
        <w:ind w:right="102"/>
        <w:rPr>
          <w:sz w:val="18"/>
        </w:rPr>
      </w:pPr>
      <w:r w:rsidRPr="000D37CE">
        <w:rPr>
          <w:sz w:val="18"/>
          <w:szCs w:val="18"/>
        </w:rPr>
        <w:t xml:space="preserve">certainty of subject matter - the trust property must be clearly identified or identifiable; </w:t>
      </w:r>
    </w:p>
    <w:p w14:paraId="7658E482" w14:textId="5B524924" w:rsidR="000D37CE" w:rsidRPr="000D37CE" w:rsidRDefault="000D37CE" w:rsidP="000D37CE">
      <w:pPr>
        <w:pStyle w:val="ListParagraph"/>
        <w:numPr>
          <w:ilvl w:val="1"/>
          <w:numId w:val="13"/>
        </w:numPr>
        <w:tabs>
          <w:tab w:val="left" w:pos="1540"/>
          <w:tab w:val="left" w:pos="1541"/>
        </w:tabs>
        <w:ind w:right="102"/>
        <w:rPr>
          <w:sz w:val="18"/>
        </w:rPr>
      </w:pPr>
      <w:r w:rsidRPr="000D37CE">
        <w:rPr>
          <w:sz w:val="18"/>
          <w:szCs w:val="18"/>
        </w:rPr>
        <w:t>certainty of ‘objects’ - the beneficiaries of the trust and the benefits that they are to receive must</w:t>
      </w:r>
      <w:r>
        <w:rPr>
          <w:sz w:val="18"/>
          <w:szCs w:val="18"/>
        </w:rPr>
        <w:t xml:space="preserve"> be certain</w:t>
      </w:r>
    </w:p>
    <w:p w14:paraId="032EB032" w14:textId="77777777" w:rsidR="000D37CE" w:rsidRDefault="000D37CE" w:rsidP="000D37CE">
      <w:pPr>
        <w:tabs>
          <w:tab w:val="left" w:pos="1540"/>
          <w:tab w:val="left" w:pos="1541"/>
        </w:tabs>
        <w:ind w:right="102"/>
        <w:rPr>
          <w:sz w:val="18"/>
        </w:rPr>
      </w:pPr>
    </w:p>
    <w:p w14:paraId="2D3E6D0A" w14:textId="0F1D7D45" w:rsidR="00E91786" w:rsidRPr="000D37CE" w:rsidRDefault="00F5163C" w:rsidP="000D37CE">
      <w:pPr>
        <w:tabs>
          <w:tab w:val="left" w:pos="1540"/>
          <w:tab w:val="left" w:pos="1541"/>
        </w:tabs>
        <w:ind w:right="102"/>
        <w:rPr>
          <w:sz w:val="18"/>
        </w:rPr>
      </w:pPr>
      <w:r w:rsidRPr="000D37CE">
        <w:rPr>
          <w:sz w:val="18"/>
        </w:rPr>
        <w:t xml:space="preserve">             </w:t>
      </w:r>
      <w:r w:rsidR="00E91786" w:rsidRPr="000D37CE">
        <w:rPr>
          <w:sz w:val="18"/>
        </w:rPr>
        <w:t xml:space="preserve">(Relevant section of the manual is Part </w:t>
      </w:r>
      <w:r w:rsidR="000D37CE">
        <w:rPr>
          <w:sz w:val="18"/>
        </w:rPr>
        <w:t>2</w:t>
      </w:r>
      <w:r w:rsidR="00E91786" w:rsidRPr="000D37CE">
        <w:rPr>
          <w:sz w:val="18"/>
        </w:rPr>
        <w:t xml:space="preserve"> Chapter</w:t>
      </w:r>
      <w:r w:rsidR="000D37CE">
        <w:rPr>
          <w:sz w:val="18"/>
        </w:rPr>
        <w:t>s</w:t>
      </w:r>
      <w:r w:rsidR="00E91786" w:rsidRPr="000D37CE">
        <w:rPr>
          <w:sz w:val="18"/>
        </w:rPr>
        <w:t xml:space="preserve"> </w:t>
      </w:r>
      <w:r w:rsidR="000D37CE">
        <w:rPr>
          <w:sz w:val="18"/>
        </w:rPr>
        <w:t>1.2 and 1.4</w:t>
      </w:r>
      <w:r w:rsidR="00E91786" w:rsidRPr="000D37CE">
        <w:rPr>
          <w:sz w:val="18"/>
        </w:rPr>
        <w:t>)</w:t>
      </w:r>
    </w:p>
    <w:p w14:paraId="5E7BD5F2" w14:textId="6141DEA2" w:rsidR="00C344E3" w:rsidRDefault="00C344E3">
      <w:pPr>
        <w:pStyle w:val="BodyText"/>
        <w:spacing w:before="9"/>
        <w:rPr>
          <w:sz w:val="21"/>
        </w:rPr>
      </w:pPr>
    </w:p>
    <w:p w14:paraId="2FF0A130" w14:textId="1D0FBA31" w:rsidR="00E91786" w:rsidRDefault="00285040" w:rsidP="00E91786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List 5 </w:t>
      </w:r>
      <w:r w:rsidR="000D37CE">
        <w:t>common general provisions contained in a Definitive Trust Deed</w:t>
      </w:r>
      <w:r w:rsidR="00E91786">
        <w:t>.</w:t>
      </w:r>
    </w:p>
    <w:p w14:paraId="3D646882" w14:textId="77777777" w:rsidR="00E91786" w:rsidRDefault="00E91786" w:rsidP="00E91786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500A144C" w14:textId="6B9135A1" w:rsidR="00E91786" w:rsidRDefault="00E91786" w:rsidP="00E91786">
      <w:pPr>
        <w:pStyle w:val="BodyText"/>
        <w:spacing w:before="34"/>
        <w:ind w:left="527"/>
      </w:pPr>
      <w:r>
        <w:t>Answer should</w:t>
      </w:r>
      <w:r w:rsidR="00285040">
        <w:t xml:space="preserve"> include 5 from the following</w:t>
      </w:r>
      <w:r>
        <w:t>:</w:t>
      </w:r>
    </w:p>
    <w:p w14:paraId="2DB995FB" w14:textId="77777777" w:rsidR="00E91786" w:rsidRDefault="00E91786" w:rsidP="00E91786">
      <w:pPr>
        <w:pStyle w:val="BodyText"/>
        <w:spacing w:before="7"/>
        <w:rPr>
          <w:sz w:val="20"/>
        </w:rPr>
      </w:pPr>
    </w:p>
    <w:p w14:paraId="53FC9AAD" w14:textId="7F669B7A" w:rsidR="000D37CE" w:rsidRDefault="000D37CE" w:rsidP="000D37CE">
      <w:pPr>
        <w:pStyle w:val="BodyText"/>
        <w:numPr>
          <w:ilvl w:val="0"/>
          <w:numId w:val="21"/>
        </w:numPr>
        <w:spacing w:before="3"/>
      </w:pPr>
      <w:r>
        <w:t xml:space="preserve">effective date for the adoption of the trust provisions and rules; </w:t>
      </w:r>
    </w:p>
    <w:p w14:paraId="66895DA8" w14:textId="03E28766" w:rsidR="000D37CE" w:rsidRDefault="000D37CE" w:rsidP="000D37CE">
      <w:pPr>
        <w:pStyle w:val="BodyText"/>
        <w:numPr>
          <w:ilvl w:val="0"/>
          <w:numId w:val="21"/>
        </w:numPr>
        <w:spacing w:before="3"/>
      </w:pPr>
      <w:r>
        <w:t>parties to the deed;</w:t>
      </w:r>
    </w:p>
    <w:p w14:paraId="65B29353" w14:textId="247100DD" w:rsidR="000D37CE" w:rsidRDefault="000D37CE" w:rsidP="000D37CE">
      <w:pPr>
        <w:pStyle w:val="BodyText"/>
        <w:numPr>
          <w:ilvl w:val="0"/>
          <w:numId w:val="21"/>
        </w:numPr>
        <w:spacing w:before="3"/>
      </w:pPr>
      <w:r>
        <w:t xml:space="preserve">appointment of the first trustees of the scheme; </w:t>
      </w:r>
    </w:p>
    <w:p w14:paraId="5169609E" w14:textId="1E3AE997" w:rsidR="000D37CE" w:rsidRDefault="000D37CE" w:rsidP="000D37CE">
      <w:pPr>
        <w:pStyle w:val="BodyText"/>
        <w:numPr>
          <w:ilvl w:val="0"/>
          <w:numId w:val="21"/>
        </w:numPr>
        <w:spacing w:before="3"/>
      </w:pPr>
      <w:r>
        <w:t>definitions used in the deed and in the rules;</w:t>
      </w:r>
    </w:p>
    <w:p w14:paraId="19292241" w14:textId="55200E63" w:rsidR="000D37CE" w:rsidRDefault="000D37CE" w:rsidP="000D37CE">
      <w:pPr>
        <w:pStyle w:val="BodyText"/>
        <w:numPr>
          <w:ilvl w:val="0"/>
          <w:numId w:val="21"/>
        </w:numPr>
        <w:spacing w:before="3"/>
      </w:pPr>
      <w:r>
        <w:t xml:space="preserve">a statement that the scheme assets are held upon irrevocable trusts; </w:t>
      </w:r>
    </w:p>
    <w:p w14:paraId="2BEB9C87" w14:textId="01B84CE5" w:rsidR="000D37CE" w:rsidRDefault="000D37CE" w:rsidP="000D37CE">
      <w:pPr>
        <w:pStyle w:val="BodyText"/>
        <w:numPr>
          <w:ilvl w:val="0"/>
          <w:numId w:val="21"/>
        </w:numPr>
        <w:spacing w:before="3"/>
      </w:pPr>
      <w:r>
        <w:t>power of amendment;</w:t>
      </w:r>
    </w:p>
    <w:p w14:paraId="1EACC088" w14:textId="106C76C9" w:rsidR="000D37CE" w:rsidRDefault="000D37CE" w:rsidP="000D37CE">
      <w:pPr>
        <w:pStyle w:val="BodyText"/>
        <w:numPr>
          <w:ilvl w:val="0"/>
          <w:numId w:val="21"/>
        </w:numPr>
        <w:spacing w:before="3"/>
      </w:pPr>
      <w:r>
        <w:t>provision for participation of new employers and withdrawal of existing employers;</w:t>
      </w:r>
    </w:p>
    <w:p w14:paraId="22E4F417" w14:textId="58E9D53F" w:rsidR="000D37CE" w:rsidRDefault="000D37CE" w:rsidP="000D37CE">
      <w:pPr>
        <w:pStyle w:val="BodyText"/>
        <w:numPr>
          <w:ilvl w:val="0"/>
          <w:numId w:val="21"/>
        </w:numPr>
        <w:spacing w:before="3"/>
      </w:pPr>
      <w:r>
        <w:t>special and general powers to augment a member’s benefits;</w:t>
      </w:r>
    </w:p>
    <w:p w14:paraId="670EFEAB" w14:textId="1D8FB653" w:rsidR="000D37CE" w:rsidRDefault="000D37CE" w:rsidP="000D37CE">
      <w:pPr>
        <w:pStyle w:val="BodyText"/>
        <w:numPr>
          <w:ilvl w:val="0"/>
          <w:numId w:val="21"/>
        </w:numPr>
        <w:spacing w:before="3"/>
      </w:pPr>
      <w:r>
        <w:t>provision for change of principal employer;</w:t>
      </w:r>
    </w:p>
    <w:p w14:paraId="1AE810BB" w14:textId="454CDD42" w:rsidR="00285040" w:rsidRDefault="000D37CE" w:rsidP="000D37CE">
      <w:pPr>
        <w:pStyle w:val="BodyText"/>
        <w:numPr>
          <w:ilvl w:val="0"/>
          <w:numId w:val="21"/>
        </w:numPr>
        <w:spacing w:before="3"/>
      </w:pPr>
      <w:r>
        <w:t>provision setting out the circumstances in which the scheme will be wound up.</w:t>
      </w:r>
    </w:p>
    <w:p w14:paraId="30D0FF79" w14:textId="77777777" w:rsidR="000D37CE" w:rsidRDefault="000D37CE" w:rsidP="000D37CE">
      <w:pPr>
        <w:pStyle w:val="BodyText"/>
        <w:spacing w:before="3"/>
        <w:ind w:left="720"/>
      </w:pPr>
    </w:p>
    <w:p w14:paraId="77980EAA" w14:textId="16BCCA27" w:rsidR="00E91786" w:rsidRDefault="0086205F" w:rsidP="00E91786">
      <w:pPr>
        <w:pStyle w:val="BodyText"/>
        <w:ind w:left="527"/>
      </w:pPr>
      <w:r>
        <w:t>(</w:t>
      </w:r>
      <w:r w:rsidR="00E91786">
        <w:t xml:space="preserve">Relevant section of the manual is Part </w:t>
      </w:r>
      <w:r w:rsidR="000D37CE">
        <w:t>2</w:t>
      </w:r>
      <w:r w:rsidR="00E91786">
        <w:t xml:space="preserve"> Chapter </w:t>
      </w:r>
      <w:r w:rsidR="000D37CE">
        <w:t>3.1</w:t>
      </w:r>
      <w:r>
        <w:t>)</w:t>
      </w:r>
    </w:p>
    <w:p w14:paraId="128C90B9" w14:textId="77777777" w:rsidR="009D5026" w:rsidRDefault="009D5026" w:rsidP="00E91786">
      <w:pPr>
        <w:pStyle w:val="BodyText"/>
        <w:ind w:left="527"/>
      </w:pPr>
    </w:p>
    <w:p w14:paraId="1921462D" w14:textId="2C8DE2D2" w:rsidR="009D5026" w:rsidRDefault="009D5026" w:rsidP="00E91786">
      <w:pPr>
        <w:pStyle w:val="BodyText"/>
        <w:ind w:left="527"/>
      </w:pPr>
    </w:p>
    <w:p w14:paraId="67E59C2B" w14:textId="5A357E05" w:rsidR="009D5026" w:rsidRDefault="0081034F" w:rsidP="009D5026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>List the arrangements a participating employer departing from a DB scheme may enter into in order to reduce the amount of section 75 debt triggered as a result of the exit from the scheme</w:t>
      </w:r>
      <w:r w:rsidR="009D5026">
        <w:t>.</w:t>
      </w:r>
    </w:p>
    <w:p w14:paraId="6EA4FAD4" w14:textId="77777777" w:rsidR="009D5026" w:rsidRDefault="009D5026" w:rsidP="009D5026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4A3795B8" w14:textId="77777777" w:rsidR="009D5026" w:rsidRDefault="009D5026" w:rsidP="009D5026">
      <w:pPr>
        <w:pStyle w:val="BodyText"/>
        <w:spacing w:before="34"/>
        <w:ind w:left="527"/>
      </w:pPr>
      <w:r>
        <w:t>Answer should cover:</w:t>
      </w:r>
    </w:p>
    <w:p w14:paraId="517793AD" w14:textId="77777777" w:rsidR="009D5026" w:rsidRDefault="009D5026" w:rsidP="009D5026">
      <w:pPr>
        <w:pStyle w:val="BodyText"/>
        <w:spacing w:before="7"/>
        <w:rPr>
          <w:sz w:val="20"/>
        </w:rPr>
      </w:pPr>
    </w:p>
    <w:p w14:paraId="6855D265" w14:textId="0FA2F809" w:rsidR="0081034F" w:rsidRDefault="0081034F" w:rsidP="009D5026">
      <w:pPr>
        <w:pStyle w:val="BodyText"/>
        <w:numPr>
          <w:ilvl w:val="0"/>
          <w:numId w:val="9"/>
        </w:numPr>
        <w:spacing w:before="3"/>
      </w:pPr>
      <w:r>
        <w:t>a withdrawal arrangement;</w:t>
      </w:r>
    </w:p>
    <w:p w14:paraId="1CC83A45" w14:textId="7A1228DD" w:rsidR="0081034F" w:rsidRDefault="0081034F" w:rsidP="009D5026">
      <w:pPr>
        <w:pStyle w:val="BodyText"/>
        <w:numPr>
          <w:ilvl w:val="0"/>
          <w:numId w:val="9"/>
        </w:numPr>
        <w:spacing w:before="3"/>
      </w:pPr>
      <w:r>
        <w:t xml:space="preserve">an approved withdrawal arrangement; </w:t>
      </w:r>
    </w:p>
    <w:p w14:paraId="3062E72F" w14:textId="25B69DF3" w:rsidR="0081034F" w:rsidRDefault="0081034F" w:rsidP="009D5026">
      <w:pPr>
        <w:pStyle w:val="BodyText"/>
        <w:numPr>
          <w:ilvl w:val="0"/>
          <w:numId w:val="9"/>
        </w:numPr>
        <w:spacing w:before="3"/>
      </w:pPr>
      <w:r>
        <w:t xml:space="preserve">a scheme apportionment arrangement; </w:t>
      </w:r>
    </w:p>
    <w:p w14:paraId="75E99FF6" w14:textId="69D629E6" w:rsidR="0081034F" w:rsidRDefault="0081034F" w:rsidP="009D5026">
      <w:pPr>
        <w:pStyle w:val="BodyText"/>
        <w:numPr>
          <w:ilvl w:val="0"/>
          <w:numId w:val="9"/>
        </w:numPr>
        <w:spacing w:before="3"/>
      </w:pPr>
      <w:r>
        <w:t xml:space="preserve">a flexible apportionment arrangement; </w:t>
      </w:r>
    </w:p>
    <w:p w14:paraId="620B9A37" w14:textId="781FC586" w:rsidR="009D5026" w:rsidRDefault="0081034F" w:rsidP="009D5026">
      <w:pPr>
        <w:pStyle w:val="BodyText"/>
        <w:numPr>
          <w:ilvl w:val="0"/>
          <w:numId w:val="9"/>
        </w:numPr>
        <w:spacing w:before="3"/>
      </w:pPr>
      <w:r>
        <w:t>a regulated apportionment arrangement</w:t>
      </w:r>
      <w:r w:rsidR="009D5026">
        <w:t>.</w:t>
      </w:r>
    </w:p>
    <w:p w14:paraId="7228114F" w14:textId="77777777" w:rsidR="009D5026" w:rsidRDefault="009D5026" w:rsidP="009D5026">
      <w:pPr>
        <w:pStyle w:val="BodyText"/>
        <w:spacing w:before="3"/>
        <w:ind w:left="1080"/>
      </w:pPr>
    </w:p>
    <w:p w14:paraId="5A436E26" w14:textId="18C4EEC4" w:rsidR="009D5026" w:rsidRDefault="009D5026" w:rsidP="009D5026">
      <w:pPr>
        <w:pStyle w:val="BodyText"/>
        <w:ind w:left="527"/>
      </w:pPr>
      <w:r>
        <w:t xml:space="preserve">(Relevant section of the manual is Part </w:t>
      </w:r>
      <w:r w:rsidR="0081034F">
        <w:t>4</w:t>
      </w:r>
      <w:r>
        <w:t xml:space="preserve"> Chapter </w:t>
      </w:r>
      <w:r w:rsidR="00B11469">
        <w:t>1.</w:t>
      </w:r>
      <w:r w:rsidR="0081034F">
        <w:t>8</w:t>
      </w:r>
      <w:r w:rsidR="00B11469">
        <w:t>.1</w:t>
      </w:r>
      <w:r>
        <w:t>)</w:t>
      </w:r>
    </w:p>
    <w:p w14:paraId="0AE674AA" w14:textId="77777777" w:rsidR="00B11469" w:rsidRDefault="00B11469" w:rsidP="009D5026">
      <w:pPr>
        <w:pStyle w:val="BodyText"/>
        <w:ind w:left="527"/>
      </w:pPr>
    </w:p>
    <w:p w14:paraId="4FCB8592" w14:textId="1F777EBB" w:rsidR="00C344E3" w:rsidRDefault="00C344E3">
      <w:pPr>
        <w:pStyle w:val="BodyText"/>
        <w:ind w:left="527"/>
      </w:pPr>
    </w:p>
    <w:p w14:paraId="6BDD1534" w14:textId="18CC64E2" w:rsidR="00E91786" w:rsidRDefault="00E91786"/>
    <w:p w14:paraId="7446FD40" w14:textId="626E8792" w:rsidR="0081034F" w:rsidRDefault="0081034F"/>
    <w:p w14:paraId="4553C7AD" w14:textId="3A20174F" w:rsidR="0081034F" w:rsidRDefault="0081034F"/>
    <w:p w14:paraId="7C2AF4E8" w14:textId="170265DD" w:rsidR="0081034F" w:rsidRDefault="0081034F"/>
    <w:p w14:paraId="520A933F" w14:textId="7ABFA80F" w:rsidR="0081034F" w:rsidRDefault="0081034F"/>
    <w:p w14:paraId="259F2EED" w14:textId="77777777" w:rsidR="0081034F" w:rsidRDefault="0081034F"/>
    <w:p w14:paraId="1E7134C4" w14:textId="7801F2EE" w:rsidR="00B11469" w:rsidRDefault="00B11469"/>
    <w:p w14:paraId="7DD18958" w14:textId="77777777" w:rsidR="00B11469" w:rsidRDefault="00B11469"/>
    <w:p w14:paraId="3EF1E8B4" w14:textId="03AA3BAB" w:rsidR="00C344E3" w:rsidRDefault="00680A48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1"/>
        <w:ind w:left="527" w:hanging="428"/>
      </w:pPr>
      <w:r>
        <w:t xml:space="preserve">In relation to </w:t>
      </w:r>
      <w:r w:rsidR="00F845AB">
        <w:t xml:space="preserve">pensions liberation, outline the </w:t>
      </w:r>
      <w:r w:rsidR="00CB3494">
        <w:t>typical</w:t>
      </w:r>
      <w:r w:rsidR="00F845AB">
        <w:t xml:space="preserve"> features of a pension scam and list</w:t>
      </w:r>
      <w:r w:rsidR="0081034F">
        <w:t xml:space="preserve"> the key risk indicators </w:t>
      </w:r>
      <w:r w:rsidR="00F845AB">
        <w:t>for trustees and members</w:t>
      </w:r>
      <w:r w:rsidR="00C739BD">
        <w:t>.</w:t>
      </w:r>
    </w:p>
    <w:p w14:paraId="4E44351E" w14:textId="77777777" w:rsidR="00D72E29" w:rsidRDefault="00D72E29" w:rsidP="00EC5327">
      <w:pPr>
        <w:spacing w:before="34"/>
        <w:ind w:left="8021"/>
        <w:rPr>
          <w:b/>
          <w:sz w:val="18"/>
        </w:rPr>
      </w:pPr>
    </w:p>
    <w:p w14:paraId="7D97FDCB" w14:textId="67A8B568" w:rsidR="00C344E3" w:rsidRPr="00EC5327" w:rsidRDefault="00C739BD" w:rsidP="00EC5327">
      <w:pPr>
        <w:spacing w:before="34"/>
        <w:ind w:left="8021"/>
        <w:rPr>
          <w:b/>
          <w:sz w:val="18"/>
        </w:rPr>
      </w:pPr>
      <w:r>
        <w:rPr>
          <w:b/>
          <w:sz w:val="18"/>
        </w:rPr>
        <w:t>10 marks</w:t>
      </w:r>
    </w:p>
    <w:p w14:paraId="5F424DEE" w14:textId="54C0E0BE" w:rsidR="00DF0CCF" w:rsidRDefault="00C739BD">
      <w:pPr>
        <w:pStyle w:val="BodyText"/>
        <w:spacing w:before="64"/>
        <w:ind w:left="527"/>
      </w:pPr>
      <w:r>
        <w:t>Answer should cover:</w:t>
      </w:r>
    </w:p>
    <w:p w14:paraId="067AC154" w14:textId="77777777" w:rsidR="002E547D" w:rsidRDefault="002E547D">
      <w:pPr>
        <w:pStyle w:val="BodyText"/>
        <w:spacing w:before="64"/>
        <w:ind w:left="527"/>
      </w:pPr>
    </w:p>
    <w:p w14:paraId="6C02D331" w14:textId="77777777" w:rsidR="00F845AB" w:rsidRDefault="00F845AB" w:rsidP="00F845AB">
      <w:pPr>
        <w:pStyle w:val="BodyText"/>
        <w:numPr>
          <w:ilvl w:val="0"/>
          <w:numId w:val="22"/>
        </w:numPr>
        <w:spacing w:before="9"/>
      </w:pPr>
      <w:r>
        <w:t>Key features:</w:t>
      </w:r>
    </w:p>
    <w:p w14:paraId="7307D20F" w14:textId="77777777" w:rsidR="00F845AB" w:rsidRDefault="00F845AB" w:rsidP="00F845AB">
      <w:pPr>
        <w:pStyle w:val="BodyText"/>
        <w:numPr>
          <w:ilvl w:val="1"/>
          <w:numId w:val="22"/>
        </w:numPr>
        <w:spacing w:before="9"/>
      </w:pPr>
      <w:r>
        <w:t>Members targeted by unsolicited text messages and cold calling;</w:t>
      </w:r>
    </w:p>
    <w:p w14:paraId="777CC5E5" w14:textId="56B5C3A9" w:rsidR="00F845AB" w:rsidRDefault="00CB3494" w:rsidP="00F845AB">
      <w:pPr>
        <w:pStyle w:val="BodyText"/>
        <w:numPr>
          <w:ilvl w:val="1"/>
          <w:numId w:val="22"/>
        </w:numPr>
        <w:spacing w:before="9"/>
      </w:pPr>
      <w:r>
        <w:t>Members o</w:t>
      </w:r>
      <w:r w:rsidR="00F845AB">
        <w:t xml:space="preserve">ffered pension reviews, higher returns on investments, pension loans and upfront cash to lure them into transferring. </w:t>
      </w:r>
    </w:p>
    <w:p w14:paraId="6CEF6F18" w14:textId="6D7C8120" w:rsidR="00F845AB" w:rsidRDefault="00F845AB" w:rsidP="00F845AB">
      <w:pPr>
        <w:pStyle w:val="BodyText"/>
        <w:numPr>
          <w:ilvl w:val="1"/>
          <w:numId w:val="22"/>
        </w:numPr>
        <w:spacing w:before="9"/>
      </w:pPr>
      <w:r>
        <w:t>M</w:t>
      </w:r>
      <w:r w:rsidR="00CB3494">
        <w:t>embers m</w:t>
      </w:r>
      <w:r>
        <w:t xml:space="preserve">ay be pressurised by liberators to push through the transfer and sign the paperwork quickly; </w:t>
      </w:r>
    </w:p>
    <w:p w14:paraId="7D5F5461" w14:textId="5C728E73" w:rsidR="00F845AB" w:rsidRDefault="00F845AB" w:rsidP="00F845AB">
      <w:pPr>
        <w:pStyle w:val="BodyText"/>
        <w:numPr>
          <w:ilvl w:val="1"/>
          <w:numId w:val="22"/>
        </w:numPr>
        <w:spacing w:before="9"/>
      </w:pPr>
      <w:r>
        <w:t>Generally, members offered the opportunity to obtain pension monies before their normal minimum pension age (age 55);</w:t>
      </w:r>
    </w:p>
    <w:p w14:paraId="3B687272" w14:textId="775D59EC" w:rsidR="00CB3494" w:rsidRDefault="00F845AB" w:rsidP="00CB3494">
      <w:pPr>
        <w:pStyle w:val="BodyText"/>
        <w:numPr>
          <w:ilvl w:val="1"/>
          <w:numId w:val="22"/>
        </w:numPr>
        <w:spacing w:before="9"/>
      </w:pPr>
      <w:r>
        <w:t xml:space="preserve">New pension flexibilities from 6 April 2015 mean members over age 55 are now being targeted; </w:t>
      </w:r>
    </w:p>
    <w:p w14:paraId="1163863A" w14:textId="77777777" w:rsidR="00CB3494" w:rsidRDefault="00CB3494" w:rsidP="00CB3494">
      <w:pPr>
        <w:pStyle w:val="BodyText"/>
        <w:numPr>
          <w:ilvl w:val="0"/>
          <w:numId w:val="22"/>
        </w:numPr>
        <w:spacing w:before="9"/>
      </w:pPr>
      <w:r>
        <w:t>K</w:t>
      </w:r>
      <w:r w:rsidR="00F845AB">
        <w:t>ey risk indicators for trustees and members</w:t>
      </w:r>
      <w:r>
        <w:t>:</w:t>
      </w:r>
    </w:p>
    <w:p w14:paraId="42AA3C64" w14:textId="77777777" w:rsidR="00CB3494" w:rsidRDefault="00F845AB" w:rsidP="00CB3494">
      <w:pPr>
        <w:pStyle w:val="BodyText"/>
        <w:numPr>
          <w:ilvl w:val="1"/>
          <w:numId w:val="22"/>
        </w:numPr>
        <w:spacing w:before="9"/>
      </w:pPr>
      <w:r>
        <w:t xml:space="preserve">newly established schemes with little or no formal documentation; </w:t>
      </w:r>
    </w:p>
    <w:p w14:paraId="3A99695A" w14:textId="77777777" w:rsidR="00CB3494" w:rsidRDefault="00F845AB" w:rsidP="00CB3494">
      <w:pPr>
        <w:pStyle w:val="BodyText"/>
        <w:numPr>
          <w:ilvl w:val="1"/>
          <w:numId w:val="22"/>
        </w:numPr>
        <w:spacing w:before="9"/>
      </w:pPr>
      <w:r>
        <w:t xml:space="preserve">cold calling or unsolicited text or emails; </w:t>
      </w:r>
    </w:p>
    <w:p w14:paraId="10218002" w14:textId="77777777" w:rsidR="00CB3494" w:rsidRDefault="00F845AB" w:rsidP="00CB3494">
      <w:pPr>
        <w:pStyle w:val="BodyText"/>
        <w:numPr>
          <w:ilvl w:val="1"/>
          <w:numId w:val="22"/>
        </w:numPr>
        <w:spacing w:before="9"/>
      </w:pPr>
      <w:r>
        <w:t xml:space="preserve">pressure to force through the transfer quickly; </w:t>
      </w:r>
    </w:p>
    <w:p w14:paraId="38EFE324" w14:textId="77777777" w:rsidR="00CB3494" w:rsidRDefault="00F845AB" w:rsidP="00CB3494">
      <w:pPr>
        <w:pStyle w:val="BodyText"/>
        <w:numPr>
          <w:ilvl w:val="1"/>
          <w:numId w:val="22"/>
        </w:numPr>
        <w:spacing w:before="9"/>
      </w:pPr>
      <w:r>
        <w:t xml:space="preserve">encouragement to take cash and reinvest it; </w:t>
      </w:r>
    </w:p>
    <w:p w14:paraId="4C091C24" w14:textId="77777777" w:rsidR="00CB3494" w:rsidRDefault="00F845AB" w:rsidP="00CB3494">
      <w:pPr>
        <w:pStyle w:val="BodyText"/>
        <w:numPr>
          <w:ilvl w:val="1"/>
          <w:numId w:val="22"/>
        </w:numPr>
        <w:spacing w:before="9"/>
      </w:pPr>
      <w:r>
        <w:t>claims to allow access to pension before age 55;</w:t>
      </w:r>
    </w:p>
    <w:p w14:paraId="58AC4D8D" w14:textId="14897CD4" w:rsidR="009D5026" w:rsidRDefault="00F845AB" w:rsidP="00CB3494">
      <w:pPr>
        <w:pStyle w:val="BodyText"/>
        <w:numPr>
          <w:ilvl w:val="1"/>
          <w:numId w:val="22"/>
        </w:numPr>
        <w:spacing w:before="9"/>
      </w:pPr>
      <w:r>
        <w:t>transfers of money into an overseas investment.</w:t>
      </w:r>
    </w:p>
    <w:p w14:paraId="79868C22" w14:textId="77777777" w:rsidR="00CB3494" w:rsidRPr="009D5026" w:rsidRDefault="00CB3494" w:rsidP="00CB3494">
      <w:pPr>
        <w:pStyle w:val="BodyText"/>
        <w:spacing w:before="9"/>
        <w:ind w:left="1440"/>
      </w:pPr>
    </w:p>
    <w:p w14:paraId="73FFBD93" w14:textId="3FD8B325" w:rsidR="00C344E3" w:rsidRDefault="00C739BD">
      <w:pPr>
        <w:pStyle w:val="BodyText"/>
        <w:ind w:left="527"/>
      </w:pPr>
      <w:r>
        <w:t xml:space="preserve">(Relevant section of the manual is Part </w:t>
      </w:r>
      <w:r w:rsidR="00CB3494">
        <w:t>6</w:t>
      </w:r>
      <w:r>
        <w:t xml:space="preserve"> Chapter </w:t>
      </w:r>
      <w:r w:rsidR="00CB3494">
        <w:t>2.1</w:t>
      </w:r>
      <w:r>
        <w:t>)</w:t>
      </w:r>
    </w:p>
    <w:p w14:paraId="1A9C838A" w14:textId="77777777" w:rsidR="00C344E3" w:rsidRDefault="00C344E3"/>
    <w:p w14:paraId="1CA8634A" w14:textId="77777777" w:rsidR="00D72E29" w:rsidRDefault="00D72E29"/>
    <w:p w14:paraId="62BAE924" w14:textId="77777777" w:rsidR="00C344E3" w:rsidRDefault="00C344E3">
      <w:pPr>
        <w:rPr>
          <w:sz w:val="15"/>
        </w:rPr>
        <w:sectPr w:rsidR="00C344E3">
          <w:headerReference w:type="default" r:id="rId7"/>
          <w:footerReference w:type="default" r:id="rId8"/>
          <w:pgSz w:w="11910" w:h="16840"/>
          <w:pgMar w:top="2200" w:right="1600" w:bottom="640" w:left="1340" w:header="167" w:footer="451" w:gutter="0"/>
          <w:cols w:space="720"/>
        </w:sectPr>
      </w:pPr>
    </w:p>
    <w:p w14:paraId="6C0224C9" w14:textId="482DB6BA" w:rsidR="00424994" w:rsidRDefault="00CB3494" w:rsidP="00424994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>Outline how a person’s total pension rights are valued in order to test the benefits against the Lifetime Allowance. Your answer should include a worked example of a valuation</w:t>
      </w:r>
      <w:r w:rsidR="00B11469">
        <w:t xml:space="preserve">. </w:t>
      </w:r>
    </w:p>
    <w:p w14:paraId="294A2224" w14:textId="77777777" w:rsidR="00424994" w:rsidRPr="00EC5327" w:rsidRDefault="00424994" w:rsidP="00424994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 marks</w:t>
      </w:r>
    </w:p>
    <w:p w14:paraId="1C0C80F1" w14:textId="77777777" w:rsidR="00424994" w:rsidRDefault="00424994" w:rsidP="00424994">
      <w:pPr>
        <w:pStyle w:val="BodyText"/>
        <w:spacing w:before="64"/>
        <w:ind w:left="527"/>
      </w:pPr>
      <w:r>
        <w:t>Answer should cover:</w:t>
      </w:r>
    </w:p>
    <w:p w14:paraId="26BB6A6E" w14:textId="77777777" w:rsidR="00424994" w:rsidRDefault="00424994" w:rsidP="00424994">
      <w:pPr>
        <w:pStyle w:val="BodyText"/>
        <w:spacing w:before="11"/>
        <w:rPr>
          <w:sz w:val="17"/>
        </w:rPr>
      </w:pPr>
    </w:p>
    <w:p w14:paraId="135AC226" w14:textId="77777777" w:rsidR="00CB3494" w:rsidRDefault="00CB3494" w:rsidP="00CB3494">
      <w:pPr>
        <w:pStyle w:val="BodyText"/>
        <w:numPr>
          <w:ilvl w:val="0"/>
          <w:numId w:val="5"/>
        </w:numPr>
        <w:spacing w:before="11"/>
      </w:pPr>
      <w:r>
        <w:t xml:space="preserve">HMRC has laid down a set of criteria for making such a valuation when pension rights are crystallised: </w:t>
      </w:r>
    </w:p>
    <w:p w14:paraId="5EA24A4F" w14:textId="4487072D" w:rsidR="00CB3494" w:rsidRDefault="00CB3494" w:rsidP="00CB3494">
      <w:pPr>
        <w:pStyle w:val="BodyText"/>
        <w:numPr>
          <w:ilvl w:val="0"/>
          <w:numId w:val="5"/>
        </w:numPr>
        <w:spacing w:before="11"/>
      </w:pPr>
      <w:r>
        <w:t>Money purchase scheme - the value of the pension rights is taken as the fund value at the time of crystalli</w:t>
      </w:r>
      <w:r w:rsidR="002A12DE">
        <w:t>s</w:t>
      </w:r>
      <w:r>
        <w:t xml:space="preserve">ation; </w:t>
      </w:r>
    </w:p>
    <w:p w14:paraId="2D01783C" w14:textId="77777777" w:rsidR="00CB3494" w:rsidRDefault="00CB3494" w:rsidP="00CB3494">
      <w:pPr>
        <w:pStyle w:val="BodyText"/>
        <w:numPr>
          <w:ilvl w:val="0"/>
          <w:numId w:val="5"/>
        </w:numPr>
        <w:spacing w:before="11"/>
      </w:pPr>
      <w:r>
        <w:t>Defined benefit scheme - the value is the amount of any cash sum taken plus 20 x the starting pension;</w:t>
      </w:r>
    </w:p>
    <w:p w14:paraId="6A86ED87" w14:textId="0081F26B" w:rsidR="002A12DE" w:rsidRDefault="00CB3494" w:rsidP="00CB3494">
      <w:pPr>
        <w:pStyle w:val="BodyText"/>
        <w:numPr>
          <w:ilvl w:val="0"/>
          <w:numId w:val="5"/>
        </w:numPr>
        <w:spacing w:before="11"/>
      </w:pPr>
      <w:r>
        <w:t>If a person is receiving a pension that was put into payment prior to 6 April 2006 (i.e., under the previous tax regime</w:t>
      </w:r>
      <w:r w:rsidR="002A12DE">
        <w:t xml:space="preserve"> – a “pre-commencement pension”</w:t>
      </w:r>
      <w:r>
        <w:t>) then this is also tested</w:t>
      </w:r>
      <w:r w:rsidR="002A12DE">
        <w:t>;</w:t>
      </w:r>
    </w:p>
    <w:p w14:paraId="71DF4F7F" w14:textId="7FC279A7" w:rsidR="002A12DE" w:rsidRDefault="002A12DE" w:rsidP="00CB3494">
      <w:pPr>
        <w:pStyle w:val="BodyText"/>
        <w:numPr>
          <w:ilvl w:val="0"/>
          <w:numId w:val="5"/>
        </w:numPr>
        <w:spacing w:before="11"/>
      </w:pPr>
      <w:r>
        <w:t>P</w:t>
      </w:r>
      <w:r w:rsidR="00CB3494">
        <w:t>re-commencement pensions are tested at the time of the first post 6 April 2006 Benefit Crystallisation Event</w:t>
      </w:r>
      <w:r>
        <w:t>;</w:t>
      </w:r>
    </w:p>
    <w:p w14:paraId="74936E4C" w14:textId="15F4ED9B" w:rsidR="002A12DE" w:rsidRDefault="002A12DE" w:rsidP="00CB3494">
      <w:pPr>
        <w:pStyle w:val="BodyText"/>
        <w:numPr>
          <w:ilvl w:val="0"/>
          <w:numId w:val="5"/>
        </w:numPr>
        <w:spacing w:before="11"/>
      </w:pPr>
      <w:r>
        <w:t>For that test, pre-commencement pensions are valued by multiplying the pension in payment at the time of the first Benefit Crystallisation Event by 25;</w:t>
      </w:r>
    </w:p>
    <w:p w14:paraId="630D31DA" w14:textId="5DF04232" w:rsidR="00153CCA" w:rsidRDefault="00CB3494" w:rsidP="00CB3494">
      <w:pPr>
        <w:pStyle w:val="BodyText"/>
        <w:numPr>
          <w:ilvl w:val="0"/>
          <w:numId w:val="5"/>
        </w:numPr>
        <w:spacing w:before="11"/>
      </w:pPr>
      <w:r>
        <w:t>The value of the pension is then deducted from the member’s Lifetime Allowance</w:t>
      </w:r>
      <w:r w:rsidR="002A12DE">
        <w:t>;</w:t>
      </w:r>
    </w:p>
    <w:p w14:paraId="652873A5" w14:textId="4DFA60FE" w:rsidR="002A12DE" w:rsidRDefault="002A12DE" w:rsidP="00CB3494">
      <w:pPr>
        <w:pStyle w:val="BodyText"/>
        <w:numPr>
          <w:ilvl w:val="0"/>
          <w:numId w:val="5"/>
        </w:numPr>
        <w:spacing w:before="11"/>
      </w:pPr>
      <w:r>
        <w:t>Worked example setting out a basic calculation of the value of pension rights and the test against the Lifetime Allowance.</w:t>
      </w:r>
    </w:p>
    <w:p w14:paraId="5D61FBF0" w14:textId="1CAF1D9E" w:rsidR="00424994" w:rsidRDefault="00424994" w:rsidP="00E90B5D">
      <w:pPr>
        <w:pStyle w:val="BodyText"/>
        <w:spacing w:before="11"/>
        <w:ind w:left="720"/>
        <w:rPr>
          <w:sz w:val="21"/>
        </w:rPr>
      </w:pPr>
    </w:p>
    <w:p w14:paraId="5263C150" w14:textId="0E33D17D" w:rsidR="00D72E29" w:rsidRDefault="00424994" w:rsidP="00B11469">
      <w:pPr>
        <w:pStyle w:val="BodyText"/>
        <w:ind w:left="527"/>
      </w:pPr>
      <w:r>
        <w:t xml:space="preserve">(Relevant section of the manual is Part </w:t>
      </w:r>
      <w:r w:rsidR="00CB3494">
        <w:t>1</w:t>
      </w:r>
      <w:r>
        <w:t xml:space="preserve"> Chapter 1.</w:t>
      </w:r>
      <w:r w:rsidR="00CB3494">
        <w:t>3.</w:t>
      </w:r>
      <w:r w:rsidR="00E90B5D">
        <w:t>2</w:t>
      </w:r>
      <w:r>
        <w:t>)</w:t>
      </w:r>
    </w:p>
    <w:p w14:paraId="7D9E9CC9" w14:textId="77777777" w:rsidR="00D72E29" w:rsidRDefault="00D72E29" w:rsidP="00AB46AC">
      <w:pPr>
        <w:pStyle w:val="BodyText"/>
      </w:pPr>
    </w:p>
    <w:sectPr w:rsidR="00D72E29" w:rsidSect="00B11469">
      <w:headerReference w:type="default" r:id="rId9"/>
      <w:footerReference w:type="default" r:id="rId10"/>
      <w:type w:val="continuous"/>
      <w:pgSz w:w="11910" w:h="16840"/>
      <w:pgMar w:top="2200" w:right="1600" w:bottom="640" w:left="1340" w:header="167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6305" w14:textId="77777777" w:rsidR="00A0093E" w:rsidRDefault="00A0093E">
      <w:r>
        <w:separator/>
      </w:r>
    </w:p>
  </w:endnote>
  <w:endnote w:type="continuationSeparator" w:id="0">
    <w:p w14:paraId="0A6D3E19" w14:textId="77777777" w:rsidR="00A0093E" w:rsidRDefault="00A0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950A" w14:textId="58D170FB" w:rsidR="00C344E3" w:rsidRDefault="00C344E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C83" w14:textId="77777777" w:rsidR="00424994" w:rsidRDefault="004249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4329" w14:textId="77777777" w:rsidR="00A0093E" w:rsidRDefault="00A0093E">
      <w:r>
        <w:separator/>
      </w:r>
    </w:p>
  </w:footnote>
  <w:footnote w:type="continuationSeparator" w:id="0">
    <w:p w14:paraId="37D6381E" w14:textId="77777777" w:rsidR="00A0093E" w:rsidRDefault="00A0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60F" w14:textId="4F87FB8F" w:rsidR="00D13ED5" w:rsidRDefault="00D13ED5" w:rsidP="00D13ED5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487491072" behindDoc="0" locked="0" layoutInCell="1" allowOverlap="1" wp14:anchorId="7EE8DC43" wp14:editId="0D0D3A7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0EC4A0B3" w14:textId="77777777" w:rsidR="00D13ED5" w:rsidRDefault="00D13ED5" w:rsidP="00D13ED5">
    <w:pPr>
      <w:jc w:val="right"/>
      <w:rPr>
        <w:b/>
        <w:bCs/>
      </w:rPr>
    </w:pPr>
    <w:r>
      <w:t xml:space="preserve">60 Goswell Road </w:t>
    </w:r>
  </w:p>
  <w:p w14:paraId="28559EF0" w14:textId="77777777" w:rsidR="00D13ED5" w:rsidRDefault="00D13ED5" w:rsidP="00D13ED5">
    <w:pPr>
      <w:jc w:val="right"/>
      <w:rPr>
        <w:b/>
        <w:bCs/>
      </w:rPr>
    </w:pPr>
    <w:r>
      <w:t xml:space="preserve">London </w:t>
    </w:r>
  </w:p>
  <w:p w14:paraId="77BF2198" w14:textId="77777777" w:rsidR="00D13ED5" w:rsidRDefault="00D13ED5" w:rsidP="00D13ED5">
    <w:pPr>
      <w:jc w:val="right"/>
      <w:rPr>
        <w:b/>
        <w:bCs/>
      </w:rPr>
    </w:pPr>
    <w:r>
      <w:t xml:space="preserve">EC1M 7AD </w:t>
    </w:r>
  </w:p>
  <w:p w14:paraId="7A78BE33" w14:textId="77777777" w:rsidR="00D13ED5" w:rsidRDefault="00D13ED5" w:rsidP="00D13ED5">
    <w:pPr>
      <w:jc w:val="right"/>
      <w:rPr>
        <w:b/>
        <w:bCs/>
      </w:rPr>
    </w:pPr>
    <w:r>
      <w:t xml:space="preserve">T: +44 (0) 20 7247 1452 </w:t>
    </w:r>
  </w:p>
  <w:p w14:paraId="05259FA5" w14:textId="77777777" w:rsidR="00D13ED5" w:rsidRDefault="00D13ED5" w:rsidP="00D13ED5">
    <w:pPr>
      <w:jc w:val="right"/>
      <w:rPr>
        <w:b/>
        <w:bCs/>
      </w:rPr>
    </w:pPr>
    <w:r>
      <w:t>W: www.pensions-pmi.org.uk</w:t>
    </w:r>
  </w:p>
  <w:p w14:paraId="1121A08A" w14:textId="5996D440" w:rsidR="00C344E3" w:rsidRDefault="00C344E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BA01" w14:textId="77777777" w:rsidR="00424994" w:rsidRDefault="004249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9024" behindDoc="0" locked="0" layoutInCell="1" allowOverlap="1" wp14:anchorId="0E2B4D4B" wp14:editId="2E40E42E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339975" cy="1282700"/>
          <wp:effectExtent l="0" t="0" r="317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92A"/>
    <w:multiLevelType w:val="hybridMultilevel"/>
    <w:tmpl w:val="EFC0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A85"/>
    <w:multiLevelType w:val="hybridMultilevel"/>
    <w:tmpl w:val="C778F47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" w15:restartNumberingAfterBreak="0">
    <w:nsid w:val="0F8D3B55"/>
    <w:multiLevelType w:val="hybridMultilevel"/>
    <w:tmpl w:val="FDE00298"/>
    <w:lvl w:ilvl="0" w:tplc="EC9CBA8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62E00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B77216C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340CFF3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2982EC8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76F0539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BCE6D9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E0AEB86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1F7E84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3669FF"/>
    <w:multiLevelType w:val="hybridMultilevel"/>
    <w:tmpl w:val="29285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01D40"/>
    <w:multiLevelType w:val="hybridMultilevel"/>
    <w:tmpl w:val="7C30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0B22E">
      <w:numFmt w:val="bullet"/>
      <w:lvlText w:val="•"/>
      <w:lvlJc w:val="left"/>
      <w:pPr>
        <w:ind w:left="2160" w:hanging="360"/>
      </w:pPr>
      <w:rPr>
        <w:rFonts w:ascii="Carlito" w:eastAsia="Carlito" w:hAnsi="Carlito" w:cs="Carlit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F5DAD"/>
    <w:multiLevelType w:val="hybridMultilevel"/>
    <w:tmpl w:val="ED30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659AC"/>
    <w:multiLevelType w:val="hybridMultilevel"/>
    <w:tmpl w:val="DB2A9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02D61"/>
    <w:multiLevelType w:val="hybridMultilevel"/>
    <w:tmpl w:val="6FA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1408A"/>
    <w:multiLevelType w:val="hybridMultilevel"/>
    <w:tmpl w:val="5028A6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71E6"/>
    <w:multiLevelType w:val="hybridMultilevel"/>
    <w:tmpl w:val="AF2C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7609"/>
    <w:multiLevelType w:val="hybridMultilevel"/>
    <w:tmpl w:val="582A9FF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9580355"/>
    <w:multiLevelType w:val="hybridMultilevel"/>
    <w:tmpl w:val="1652C4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6323F"/>
    <w:multiLevelType w:val="hybridMultilevel"/>
    <w:tmpl w:val="96A8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1714"/>
    <w:multiLevelType w:val="hybridMultilevel"/>
    <w:tmpl w:val="36745D4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5D706B97"/>
    <w:multiLevelType w:val="hybridMultilevel"/>
    <w:tmpl w:val="B0F07004"/>
    <w:lvl w:ilvl="0" w:tplc="DAF0AB70">
      <w:start w:val="1"/>
      <w:numFmt w:val="lowerRoman"/>
      <w:lvlText w:val="(%1)"/>
      <w:lvlJc w:val="left"/>
      <w:pPr>
        <w:ind w:left="190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95463FD8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2" w:tplc="CA24656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AC0AA5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1340EBA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6FEE33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87262AD8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ED78BB8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D0EEB40C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F0A49BA"/>
    <w:multiLevelType w:val="hybridMultilevel"/>
    <w:tmpl w:val="3DCC1FE4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6" w15:restartNumberingAfterBreak="0">
    <w:nsid w:val="5F5F163A"/>
    <w:multiLevelType w:val="hybridMultilevel"/>
    <w:tmpl w:val="A3E89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D3B25"/>
    <w:multiLevelType w:val="hybridMultilevel"/>
    <w:tmpl w:val="62F2623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8" w15:restartNumberingAfterBreak="0">
    <w:nsid w:val="708E3C1C"/>
    <w:multiLevelType w:val="hybridMultilevel"/>
    <w:tmpl w:val="E68C06E6"/>
    <w:lvl w:ilvl="0" w:tplc="ED381386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BA8F7B0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D2D01A6C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19924DAE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A1D28C8A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20DE62A6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C01164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822AF5FE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CF0EC2B0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19" w15:restartNumberingAfterBreak="0">
    <w:nsid w:val="715C259B"/>
    <w:multiLevelType w:val="hybridMultilevel"/>
    <w:tmpl w:val="C7B0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B5076"/>
    <w:multiLevelType w:val="hybridMultilevel"/>
    <w:tmpl w:val="F5A8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761D9"/>
    <w:multiLevelType w:val="hybridMultilevel"/>
    <w:tmpl w:val="2BBEA64A"/>
    <w:lvl w:ilvl="0" w:tplc="DAF22DC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1F4BE0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0CA04D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EB72024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5890E3D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6052C78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7528EFE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B382AC0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688065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8"/>
  </w:num>
  <w:num w:numId="5">
    <w:abstractNumId w:val="4"/>
  </w:num>
  <w:num w:numId="6">
    <w:abstractNumId w:val="15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16"/>
  </w:num>
  <w:num w:numId="15">
    <w:abstractNumId w:val="3"/>
  </w:num>
  <w:num w:numId="16">
    <w:abstractNumId w:val="7"/>
  </w:num>
  <w:num w:numId="17">
    <w:abstractNumId w:val="17"/>
  </w:num>
  <w:num w:numId="18">
    <w:abstractNumId w:val="0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3"/>
    <w:rsid w:val="00020A06"/>
    <w:rsid w:val="000950AD"/>
    <w:rsid w:val="000B0917"/>
    <w:rsid w:val="000C48DE"/>
    <w:rsid w:val="000D37CE"/>
    <w:rsid w:val="000E6648"/>
    <w:rsid w:val="001379D5"/>
    <w:rsid w:val="00150183"/>
    <w:rsid w:val="00153CCA"/>
    <w:rsid w:val="0028210C"/>
    <w:rsid w:val="00285040"/>
    <w:rsid w:val="002A12DE"/>
    <w:rsid w:val="002D6DB9"/>
    <w:rsid w:val="002E547D"/>
    <w:rsid w:val="003718CB"/>
    <w:rsid w:val="00375070"/>
    <w:rsid w:val="00401AEA"/>
    <w:rsid w:val="00407424"/>
    <w:rsid w:val="00424994"/>
    <w:rsid w:val="004D4284"/>
    <w:rsid w:val="00611605"/>
    <w:rsid w:val="00680A48"/>
    <w:rsid w:val="006C6E78"/>
    <w:rsid w:val="007722D3"/>
    <w:rsid w:val="007D405B"/>
    <w:rsid w:val="007F530F"/>
    <w:rsid w:val="0081034F"/>
    <w:rsid w:val="00815621"/>
    <w:rsid w:val="0086205F"/>
    <w:rsid w:val="008C4CFA"/>
    <w:rsid w:val="00995E47"/>
    <w:rsid w:val="009A1962"/>
    <w:rsid w:val="009D5026"/>
    <w:rsid w:val="00A0093E"/>
    <w:rsid w:val="00AB46AC"/>
    <w:rsid w:val="00B11469"/>
    <w:rsid w:val="00B8212A"/>
    <w:rsid w:val="00C344E3"/>
    <w:rsid w:val="00C367D1"/>
    <w:rsid w:val="00C739BD"/>
    <w:rsid w:val="00CB3494"/>
    <w:rsid w:val="00D13ED5"/>
    <w:rsid w:val="00D16503"/>
    <w:rsid w:val="00D43626"/>
    <w:rsid w:val="00D72E29"/>
    <w:rsid w:val="00DF0CCF"/>
    <w:rsid w:val="00E90B5D"/>
    <w:rsid w:val="00E91786"/>
    <w:rsid w:val="00EC5327"/>
    <w:rsid w:val="00F17FF0"/>
    <w:rsid w:val="00F5163C"/>
    <w:rsid w:val="00F845AB"/>
    <w:rsid w:val="00FB16AA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639D6"/>
  <w15:docId w15:val="{2231E2BD-032B-4645-B35B-C08C1C4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8"/>
      <w:ind w:left="905" w:right="90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5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5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5</cp:revision>
  <dcterms:created xsi:type="dcterms:W3CDTF">2021-10-28T21:40:00Z</dcterms:created>
  <dcterms:modified xsi:type="dcterms:W3CDTF">2021-11-16T15:19:00Z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