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77777777" w:rsidR="00C344E3" w:rsidRDefault="00C739BD">
      <w:pPr>
        <w:spacing w:before="66"/>
        <w:ind w:left="905" w:right="902"/>
        <w:jc w:val="center"/>
        <w:rPr>
          <w:sz w:val="28"/>
        </w:rPr>
      </w:pPr>
      <w:r>
        <w:rPr>
          <w:sz w:val="28"/>
        </w:rPr>
        <w:t>Assignment 3 Notes</w:t>
      </w:r>
    </w:p>
    <w:p w14:paraId="39D4EE27" w14:textId="77777777" w:rsidR="00C344E3" w:rsidRDefault="00C739BD">
      <w:pPr>
        <w:spacing w:before="49"/>
        <w:ind w:left="905" w:right="903"/>
        <w:jc w:val="center"/>
        <w:rPr>
          <w:i/>
          <w:sz w:val="18"/>
        </w:rPr>
      </w:pPr>
      <w:r>
        <w:rPr>
          <w:i/>
          <w:sz w:val="18"/>
        </w:rPr>
        <w:t>(Part 3 – Other Relevant Areas of Law and Part 4 – Corporate Transactions)</w:t>
      </w:r>
    </w:p>
    <w:p w14:paraId="38C10F22" w14:textId="77777777" w:rsidR="00C344E3" w:rsidRDefault="00C344E3">
      <w:pPr>
        <w:pStyle w:val="BodyText"/>
        <w:spacing w:before="8"/>
        <w:rPr>
          <w:i/>
          <w:sz w:val="20"/>
        </w:rPr>
      </w:pPr>
    </w:p>
    <w:p w14:paraId="616E5155" w14:textId="77777777" w:rsidR="00C344E3" w:rsidRDefault="00C739BD">
      <w:pPr>
        <w:spacing w:before="1"/>
        <w:ind w:left="881" w:right="905"/>
        <w:jc w:val="center"/>
        <w:rPr>
          <w:i/>
          <w:sz w:val="16"/>
        </w:rPr>
      </w:pPr>
      <w:r>
        <w:rPr>
          <w:i/>
          <w:sz w:val="16"/>
        </w:rPr>
        <w:t>Recommended Time: 1 Hour</w:t>
      </w:r>
    </w:p>
    <w:p w14:paraId="60331CBE" w14:textId="77777777" w:rsidR="00C344E3" w:rsidRDefault="00C344E3">
      <w:pPr>
        <w:pStyle w:val="BodyText"/>
        <w:rPr>
          <w:i/>
          <w:sz w:val="16"/>
        </w:rPr>
      </w:pPr>
    </w:p>
    <w:p w14:paraId="23E29053" w14:textId="77777777" w:rsidR="00C344E3" w:rsidRDefault="00C344E3">
      <w:pPr>
        <w:pStyle w:val="BodyText"/>
        <w:rPr>
          <w:i/>
          <w:sz w:val="16"/>
        </w:rPr>
      </w:pPr>
    </w:p>
    <w:p w14:paraId="45C777D3" w14:textId="77777777" w:rsidR="00C344E3" w:rsidRDefault="00C344E3">
      <w:pPr>
        <w:pStyle w:val="BodyText"/>
        <w:spacing w:before="10"/>
        <w:rPr>
          <w:i/>
          <w:sz w:val="11"/>
        </w:rPr>
      </w:pPr>
    </w:p>
    <w:p w14:paraId="104CB1EC" w14:textId="615B551D" w:rsidR="00C344E3" w:rsidRDefault="000E6648">
      <w:pPr>
        <w:pStyle w:val="Heading1"/>
        <w:numPr>
          <w:ilvl w:val="0"/>
          <w:numId w:val="4"/>
        </w:numPr>
        <w:tabs>
          <w:tab w:val="left" w:pos="460"/>
          <w:tab w:val="left" w:pos="461"/>
        </w:tabs>
        <w:spacing w:line="276" w:lineRule="auto"/>
        <w:ind w:right="352"/>
      </w:pPr>
      <w:r>
        <w:t>Explain the two ways in which a bulk transfer of a scheme’s assets and liabilities can be transferred into another scheme during a scheme merger.</w:t>
      </w:r>
    </w:p>
    <w:p w14:paraId="17CCD11A" w14:textId="135904D0" w:rsidR="00C344E3" w:rsidRPr="00EC5327" w:rsidRDefault="002E547D" w:rsidP="00EC5327">
      <w:pPr>
        <w:spacing w:line="218" w:lineRule="exact"/>
        <w:ind w:right="353"/>
        <w:jc w:val="right"/>
        <w:rPr>
          <w:b/>
          <w:sz w:val="18"/>
        </w:rPr>
      </w:pPr>
      <w:r>
        <w:rPr>
          <w:b/>
          <w:sz w:val="18"/>
        </w:rPr>
        <w:t>10</w:t>
      </w:r>
      <w:r w:rsidR="00C739BD">
        <w:rPr>
          <w:b/>
          <w:sz w:val="18"/>
        </w:rPr>
        <w:t xml:space="preserve"> marks</w:t>
      </w:r>
    </w:p>
    <w:p w14:paraId="277E98CE" w14:textId="77777777" w:rsidR="00C344E3" w:rsidRDefault="00C739BD">
      <w:pPr>
        <w:pStyle w:val="BodyText"/>
        <w:spacing w:before="64"/>
        <w:ind w:left="527"/>
      </w:pPr>
      <w:r>
        <w:t>Answer should cover:</w:t>
      </w:r>
    </w:p>
    <w:p w14:paraId="3EB8DFD1" w14:textId="77777777" w:rsidR="00C344E3" w:rsidRDefault="00C344E3">
      <w:pPr>
        <w:pStyle w:val="BodyText"/>
        <w:spacing w:before="11"/>
        <w:rPr>
          <w:sz w:val="17"/>
        </w:rPr>
      </w:pPr>
    </w:p>
    <w:p w14:paraId="2778815D" w14:textId="58CAA0DC" w:rsidR="000E6648" w:rsidRDefault="000E6648" w:rsidP="000E6648">
      <w:pPr>
        <w:pStyle w:val="BodyText"/>
        <w:numPr>
          <w:ilvl w:val="0"/>
          <w:numId w:val="5"/>
        </w:numPr>
        <w:spacing w:before="11"/>
      </w:pPr>
      <w:r>
        <w:t>Transfers with members’ consent:</w:t>
      </w:r>
    </w:p>
    <w:p w14:paraId="6C153BB9" w14:textId="77777777" w:rsidR="000E6648" w:rsidRDefault="000E6648" w:rsidP="000E6648">
      <w:pPr>
        <w:pStyle w:val="BodyText"/>
        <w:numPr>
          <w:ilvl w:val="1"/>
          <w:numId w:val="5"/>
        </w:numPr>
        <w:spacing w:before="11"/>
      </w:pPr>
      <w:r>
        <w:t xml:space="preserve">Members given full details of the benefits in the receiving scheme for past and future </w:t>
      </w:r>
      <w:proofErr w:type="gramStart"/>
      <w:r>
        <w:t>service;</w:t>
      </w:r>
      <w:proofErr w:type="gramEnd"/>
    </w:p>
    <w:p w14:paraId="32AA1F05" w14:textId="0F1438BF" w:rsidR="000E6648" w:rsidRDefault="000E6648" w:rsidP="000E6648">
      <w:pPr>
        <w:pStyle w:val="BodyText"/>
        <w:numPr>
          <w:ilvl w:val="1"/>
          <w:numId w:val="5"/>
        </w:numPr>
        <w:spacing w:before="11"/>
      </w:pPr>
      <w:r>
        <w:t>Member offered the choice of transferring their accrued rights into the receiving scheme or retaining deferred benefits within the transferring scheme (these deferred benefits would then be bought out on the subsequent winding up of the transferring scheme</w:t>
      </w:r>
      <w:proofErr w:type="gramStart"/>
      <w:r>
        <w:t>);</w:t>
      </w:r>
      <w:proofErr w:type="gramEnd"/>
    </w:p>
    <w:p w14:paraId="58919F95" w14:textId="0DACFF23" w:rsidR="000E6648" w:rsidRDefault="000E6648" w:rsidP="000E6648">
      <w:pPr>
        <w:pStyle w:val="BodyText"/>
        <w:numPr>
          <w:ilvl w:val="1"/>
          <w:numId w:val="5"/>
        </w:numPr>
        <w:spacing w:before="11"/>
      </w:pPr>
      <w:r>
        <w:t xml:space="preserve">Members may opt to transfer their benefits into a separate arrangement of their </w:t>
      </w:r>
      <w:proofErr w:type="gramStart"/>
      <w:r>
        <w:t>choice;</w:t>
      </w:r>
      <w:proofErr w:type="gramEnd"/>
    </w:p>
    <w:p w14:paraId="6C85C835" w14:textId="5457068C" w:rsidR="000E6648" w:rsidRDefault="000E6648" w:rsidP="000E6648">
      <w:pPr>
        <w:pStyle w:val="BodyText"/>
        <w:numPr>
          <w:ilvl w:val="1"/>
          <w:numId w:val="5"/>
        </w:numPr>
        <w:spacing w:before="11"/>
      </w:pPr>
      <w:r>
        <w:t>In practice, obtaining members’ consent to a transfer in connection with a scheme merger is uncommon.</w:t>
      </w:r>
    </w:p>
    <w:p w14:paraId="52735643" w14:textId="2AE0A3D8" w:rsidR="000E6648" w:rsidRDefault="000E6648" w:rsidP="000E6648">
      <w:pPr>
        <w:pStyle w:val="BodyText"/>
        <w:numPr>
          <w:ilvl w:val="0"/>
          <w:numId w:val="5"/>
        </w:numPr>
        <w:spacing w:before="11"/>
      </w:pPr>
      <w:r>
        <w:t>Transfers without members’ consent - Trustees can agree terms of a transfer with the trustees of the receiving scheme without the consent of each member provided that:</w:t>
      </w:r>
    </w:p>
    <w:p w14:paraId="2DC11E95" w14:textId="77777777" w:rsidR="000E6648" w:rsidRDefault="000E6648" w:rsidP="002E547D">
      <w:pPr>
        <w:pStyle w:val="BodyText"/>
        <w:spacing w:before="11"/>
        <w:ind w:left="1440"/>
      </w:pPr>
      <w:r>
        <w:t xml:space="preserve">• the trust deed and rules permit such a transfer without the members’ </w:t>
      </w:r>
      <w:proofErr w:type="gramStart"/>
      <w:r>
        <w:t>consent;</w:t>
      </w:r>
      <w:proofErr w:type="gramEnd"/>
    </w:p>
    <w:p w14:paraId="11D27E3E" w14:textId="3D6ED86B" w:rsidR="000E6648" w:rsidRDefault="000E6648" w:rsidP="002E547D">
      <w:pPr>
        <w:pStyle w:val="BodyText"/>
        <w:spacing w:before="11"/>
        <w:ind w:left="1440"/>
      </w:pPr>
      <w:r>
        <w:t xml:space="preserve">• either </w:t>
      </w:r>
      <w:r w:rsidR="002E547D">
        <w:t>both</w:t>
      </w:r>
      <w:r>
        <w:t xml:space="preserve"> schemes apply to employment with the same employer, the transfer results from a financial</w:t>
      </w:r>
      <w:r w:rsidR="002E547D">
        <w:t xml:space="preserve"> </w:t>
      </w:r>
      <w:r>
        <w:t xml:space="preserve">transaction between the employers or the employers are (broadly) in the same corporate </w:t>
      </w:r>
      <w:proofErr w:type="gramStart"/>
      <w:r>
        <w:t>group;</w:t>
      </w:r>
      <w:proofErr w:type="gramEnd"/>
    </w:p>
    <w:p w14:paraId="6576B752" w14:textId="32CC2E21" w:rsidR="000E6648" w:rsidRDefault="000E6648" w:rsidP="002E547D">
      <w:pPr>
        <w:pStyle w:val="BodyText"/>
        <w:spacing w:before="11"/>
        <w:ind w:left="1440"/>
      </w:pPr>
      <w:r>
        <w:t>• the actuary to the seller’s scheme has issued a certificate under Schedule 3 of the Occupational</w:t>
      </w:r>
      <w:r w:rsidR="002E547D">
        <w:t xml:space="preserve"> </w:t>
      </w:r>
      <w:r>
        <w:t>Pension Schemes (Preservation of Benefit) Regulations 1991 to the effect that the benefits to be</w:t>
      </w:r>
      <w:r w:rsidR="002E547D">
        <w:t xml:space="preserve"> </w:t>
      </w:r>
      <w:r>
        <w:t xml:space="preserve">attributed to the transferring members in the receiving scheme are broadly no less </w:t>
      </w:r>
      <w:proofErr w:type="spellStart"/>
      <w:r>
        <w:t>favourable</w:t>
      </w:r>
      <w:proofErr w:type="spellEnd"/>
      <w:r>
        <w:t xml:space="preserve"> than</w:t>
      </w:r>
      <w:r w:rsidR="002E547D">
        <w:t xml:space="preserve"> </w:t>
      </w:r>
      <w:r>
        <w:t>those given up under the transferring scheme; and</w:t>
      </w:r>
    </w:p>
    <w:p w14:paraId="06070A5B" w14:textId="7B3F9D75" w:rsidR="00C344E3" w:rsidRDefault="000E6648" w:rsidP="002E547D">
      <w:pPr>
        <w:pStyle w:val="BodyText"/>
        <w:spacing w:before="11"/>
        <w:ind w:left="1440"/>
      </w:pPr>
      <w:r>
        <w:t>• the trustees of the transferring scheme consider that the bulk transfer would not adversely affect the</w:t>
      </w:r>
      <w:r w:rsidR="002E547D">
        <w:t xml:space="preserve"> </w:t>
      </w:r>
      <w:r>
        <w:t>security of the members’ accrued rights.</w:t>
      </w:r>
    </w:p>
    <w:p w14:paraId="52889141" w14:textId="77777777" w:rsidR="002E547D" w:rsidRDefault="002E547D" w:rsidP="002E547D">
      <w:pPr>
        <w:pStyle w:val="BodyText"/>
        <w:spacing w:before="11"/>
        <w:ind w:left="1440"/>
        <w:rPr>
          <w:sz w:val="21"/>
        </w:rPr>
      </w:pPr>
    </w:p>
    <w:p w14:paraId="013B62C0" w14:textId="77A6092C" w:rsidR="00C344E3" w:rsidRDefault="00C739BD" w:rsidP="002D6DB9">
      <w:pPr>
        <w:pStyle w:val="BodyText"/>
        <w:ind w:left="527"/>
      </w:pPr>
      <w:r>
        <w:t xml:space="preserve">(Relevant section of the manual is Part </w:t>
      </w:r>
      <w:r w:rsidR="000E6648">
        <w:t>4</w:t>
      </w:r>
      <w:r>
        <w:t xml:space="preserve"> Chapter 1.</w:t>
      </w:r>
      <w:r w:rsidR="000E6648">
        <w:t>9.1)</w:t>
      </w:r>
    </w:p>
    <w:p w14:paraId="37BAE1D5" w14:textId="1776842B" w:rsidR="002D6DB9" w:rsidRDefault="002D6DB9" w:rsidP="002D6DB9">
      <w:pPr>
        <w:pStyle w:val="BodyText"/>
        <w:ind w:left="527"/>
        <w:rPr>
          <w:sz w:val="19"/>
        </w:rPr>
      </w:pPr>
    </w:p>
    <w:p w14:paraId="38B92CA7" w14:textId="77777777" w:rsidR="002D6DB9" w:rsidRDefault="002D6DB9" w:rsidP="002D6DB9">
      <w:pPr>
        <w:pStyle w:val="BodyText"/>
        <w:ind w:left="527"/>
        <w:rPr>
          <w:sz w:val="19"/>
        </w:rPr>
      </w:pPr>
    </w:p>
    <w:p w14:paraId="5E4815B2" w14:textId="73B0A16A" w:rsidR="00C344E3" w:rsidRDefault="002D6DB9">
      <w:pPr>
        <w:pStyle w:val="Heading1"/>
        <w:numPr>
          <w:ilvl w:val="0"/>
          <w:numId w:val="4"/>
        </w:numPr>
        <w:tabs>
          <w:tab w:val="left" w:pos="527"/>
          <w:tab w:val="left" w:pos="528"/>
        </w:tabs>
        <w:spacing w:before="64" w:line="276" w:lineRule="auto"/>
        <w:ind w:left="527" w:right="342" w:hanging="428"/>
      </w:pPr>
      <w:r>
        <w:t>State why data controllers must submit an annual notification to the Information Commissioner’s Office (ICO) and the information that must be included in the notification</w:t>
      </w:r>
      <w:r w:rsidR="00C739BD">
        <w:t>.</w:t>
      </w:r>
    </w:p>
    <w:p w14:paraId="43F72945" w14:textId="490CAE10" w:rsidR="00C344E3" w:rsidRPr="00EC5327" w:rsidRDefault="00C739BD" w:rsidP="00EC5327">
      <w:pPr>
        <w:spacing w:line="219" w:lineRule="exact"/>
        <w:ind w:right="353"/>
        <w:jc w:val="right"/>
        <w:rPr>
          <w:b/>
          <w:sz w:val="18"/>
        </w:rPr>
      </w:pPr>
      <w:r>
        <w:rPr>
          <w:b/>
          <w:sz w:val="18"/>
        </w:rPr>
        <w:t>5 marks</w:t>
      </w:r>
    </w:p>
    <w:p w14:paraId="7BF70EA2" w14:textId="77777777" w:rsidR="00C344E3" w:rsidRDefault="00C739BD">
      <w:pPr>
        <w:pStyle w:val="BodyText"/>
        <w:spacing w:before="64"/>
        <w:ind w:left="527"/>
      </w:pPr>
      <w:r>
        <w:t>Answer should cover:</w:t>
      </w:r>
    </w:p>
    <w:p w14:paraId="4FF9637F" w14:textId="77777777" w:rsidR="00C344E3" w:rsidRDefault="00C344E3">
      <w:pPr>
        <w:pStyle w:val="BodyText"/>
        <w:spacing w:before="9"/>
        <w:rPr>
          <w:sz w:val="17"/>
        </w:rPr>
      </w:pPr>
    </w:p>
    <w:p w14:paraId="36A048D8" w14:textId="77777777" w:rsidR="002D6DB9" w:rsidRPr="002D6DB9" w:rsidRDefault="002D6DB9" w:rsidP="002D6DB9">
      <w:pPr>
        <w:pStyle w:val="BodyText"/>
        <w:numPr>
          <w:ilvl w:val="0"/>
          <w:numId w:val="7"/>
        </w:numPr>
        <w:spacing w:before="11"/>
        <w:rPr>
          <w:sz w:val="19"/>
        </w:rPr>
      </w:pPr>
      <w:r>
        <w:t xml:space="preserve">ICO uses the details to make an entry describing the processing in the register of data controllers that is available to the public for inspection. </w:t>
      </w:r>
    </w:p>
    <w:p w14:paraId="3F64D3DF" w14:textId="77777777" w:rsidR="002D6DB9" w:rsidRPr="002D6DB9" w:rsidRDefault="002D6DB9" w:rsidP="002D6DB9">
      <w:pPr>
        <w:pStyle w:val="BodyText"/>
        <w:numPr>
          <w:ilvl w:val="0"/>
          <w:numId w:val="7"/>
        </w:numPr>
        <w:spacing w:before="11"/>
        <w:rPr>
          <w:sz w:val="19"/>
        </w:rPr>
      </w:pPr>
      <w:r>
        <w:t>The information which data controllers must notify to the ICO includes:</w:t>
      </w:r>
    </w:p>
    <w:p w14:paraId="7A0BF266" w14:textId="77777777" w:rsidR="002D6DB9" w:rsidRPr="002D6DB9" w:rsidRDefault="002D6DB9" w:rsidP="002D6DB9">
      <w:pPr>
        <w:pStyle w:val="BodyText"/>
        <w:numPr>
          <w:ilvl w:val="1"/>
          <w:numId w:val="7"/>
        </w:numPr>
        <w:spacing w:before="11"/>
        <w:rPr>
          <w:sz w:val="19"/>
        </w:rPr>
      </w:pPr>
      <w:r>
        <w:t xml:space="preserve">a description of the personal data that is being </w:t>
      </w:r>
      <w:proofErr w:type="gramStart"/>
      <w:r>
        <w:t>processed;</w:t>
      </w:r>
      <w:proofErr w:type="gramEnd"/>
      <w:r>
        <w:t xml:space="preserve"> </w:t>
      </w:r>
    </w:p>
    <w:p w14:paraId="68183C31" w14:textId="77777777" w:rsidR="002D6DB9" w:rsidRPr="002D6DB9" w:rsidRDefault="002D6DB9" w:rsidP="002D6DB9">
      <w:pPr>
        <w:pStyle w:val="BodyText"/>
        <w:numPr>
          <w:ilvl w:val="1"/>
          <w:numId w:val="7"/>
        </w:numPr>
        <w:spacing w:before="11"/>
        <w:rPr>
          <w:sz w:val="19"/>
        </w:rPr>
      </w:pPr>
      <w:r>
        <w:t xml:space="preserve">a description of the category or categories of data subject in respect of whom personal data is being </w:t>
      </w:r>
      <w:proofErr w:type="gramStart"/>
      <w:r>
        <w:t>processed;</w:t>
      </w:r>
      <w:proofErr w:type="gramEnd"/>
      <w:r>
        <w:t xml:space="preserve"> </w:t>
      </w:r>
    </w:p>
    <w:p w14:paraId="2F2124CB" w14:textId="77777777" w:rsidR="002D6DB9" w:rsidRPr="002D6DB9" w:rsidRDefault="002D6DB9" w:rsidP="002D6DB9">
      <w:pPr>
        <w:pStyle w:val="BodyText"/>
        <w:numPr>
          <w:ilvl w:val="1"/>
          <w:numId w:val="7"/>
        </w:numPr>
        <w:spacing w:before="11"/>
        <w:rPr>
          <w:sz w:val="19"/>
        </w:rPr>
      </w:pPr>
      <w:r>
        <w:t xml:space="preserve">the purposes for which the data is being </w:t>
      </w:r>
      <w:proofErr w:type="gramStart"/>
      <w:r>
        <w:t>processed;</w:t>
      </w:r>
      <w:proofErr w:type="gramEnd"/>
      <w:r>
        <w:t xml:space="preserve"> </w:t>
      </w:r>
    </w:p>
    <w:p w14:paraId="26B3B8D8" w14:textId="346C05A4" w:rsidR="00C344E3" w:rsidRDefault="002D6DB9" w:rsidP="002D6DB9">
      <w:pPr>
        <w:pStyle w:val="BodyText"/>
        <w:numPr>
          <w:ilvl w:val="1"/>
          <w:numId w:val="7"/>
        </w:numPr>
        <w:spacing w:before="11"/>
        <w:rPr>
          <w:sz w:val="19"/>
        </w:rPr>
      </w:pPr>
      <w:r>
        <w:t>any person to whom the data needs to be disclosed.</w:t>
      </w:r>
    </w:p>
    <w:p w14:paraId="38C71748" w14:textId="77777777" w:rsidR="002D6DB9" w:rsidRDefault="002D6DB9">
      <w:pPr>
        <w:pStyle w:val="BodyText"/>
        <w:ind w:left="527"/>
      </w:pPr>
    </w:p>
    <w:p w14:paraId="57C7090A" w14:textId="099F4EB4" w:rsidR="00C344E3" w:rsidRDefault="00AB46AC">
      <w:pPr>
        <w:pStyle w:val="BodyText"/>
        <w:ind w:left="527"/>
      </w:pPr>
      <w:r>
        <w:t>(</w:t>
      </w:r>
      <w:r w:rsidR="00C739BD">
        <w:t>Relevant section of the manual is Part 3 Chapter 1</w:t>
      </w:r>
      <w:r w:rsidR="002D6DB9">
        <w:t>.1.2)</w:t>
      </w:r>
    </w:p>
    <w:p w14:paraId="09B2A4EB" w14:textId="32F2E400" w:rsidR="00C344E3" w:rsidRDefault="00C344E3">
      <w:pPr>
        <w:pStyle w:val="BodyText"/>
        <w:rPr>
          <w:sz w:val="20"/>
        </w:rPr>
      </w:pPr>
    </w:p>
    <w:p w14:paraId="2B21ABF8" w14:textId="45CF0603" w:rsidR="002D6DB9" w:rsidRDefault="002D6DB9">
      <w:pPr>
        <w:pStyle w:val="BodyText"/>
        <w:rPr>
          <w:sz w:val="20"/>
        </w:rPr>
      </w:pPr>
    </w:p>
    <w:p w14:paraId="256D8E82" w14:textId="77777777" w:rsidR="00C344E3" w:rsidRDefault="00C344E3">
      <w:pPr>
        <w:pStyle w:val="BodyText"/>
        <w:rPr>
          <w:sz w:val="16"/>
        </w:rPr>
      </w:pPr>
    </w:p>
    <w:p w14:paraId="7700E179" w14:textId="77777777" w:rsidR="00C344E3" w:rsidRDefault="00C344E3">
      <w:pPr>
        <w:rPr>
          <w:sz w:val="16"/>
        </w:rPr>
        <w:sectPr w:rsidR="00C344E3">
          <w:headerReference w:type="default" r:id="rId7"/>
          <w:footerReference w:type="default" r:id="rId8"/>
          <w:pgSz w:w="11910" w:h="16840"/>
          <w:pgMar w:top="2200" w:right="1600" w:bottom="640" w:left="1340" w:header="167" w:footer="451" w:gutter="0"/>
          <w:cols w:space="720"/>
        </w:sectPr>
      </w:pPr>
    </w:p>
    <w:p w14:paraId="77D6CD66" w14:textId="5788CF20" w:rsidR="00C344E3" w:rsidRDefault="002D6DB9">
      <w:pPr>
        <w:pStyle w:val="Heading1"/>
        <w:numPr>
          <w:ilvl w:val="0"/>
          <w:numId w:val="4"/>
        </w:numPr>
        <w:tabs>
          <w:tab w:val="left" w:pos="460"/>
          <w:tab w:val="left" w:pos="461"/>
        </w:tabs>
        <w:spacing w:before="63"/>
        <w:ind w:hanging="361"/>
      </w:pPr>
      <w:r>
        <w:lastRenderedPageBreak/>
        <w:t>List 5 common age-related pension scheme provisions which are specifically excluded from the application of age discrimination legislation</w:t>
      </w:r>
      <w:r w:rsidR="00C739BD">
        <w:t>.</w:t>
      </w:r>
      <w:r w:rsidR="00AB46AC">
        <w:tab/>
      </w:r>
    </w:p>
    <w:p w14:paraId="0692B85F" w14:textId="77777777" w:rsidR="00C344E3" w:rsidRDefault="00C344E3">
      <w:pPr>
        <w:pStyle w:val="BodyText"/>
        <w:spacing w:before="6"/>
        <w:rPr>
          <w:b/>
          <w:sz w:val="23"/>
        </w:rPr>
      </w:pPr>
    </w:p>
    <w:p w14:paraId="35036DB1" w14:textId="19ADEEB0" w:rsidR="00AB46AC" w:rsidRDefault="00AB46AC" w:rsidP="00AB46AC">
      <w:pPr>
        <w:pStyle w:val="BodyText"/>
        <w:ind w:left="7768" w:firstLine="152"/>
        <w:rPr>
          <w:b/>
          <w:bCs/>
        </w:rPr>
      </w:pPr>
      <w:r>
        <w:rPr>
          <w:b/>
          <w:bCs/>
        </w:rPr>
        <w:t>5 marks</w:t>
      </w:r>
    </w:p>
    <w:p w14:paraId="45B7C0CB" w14:textId="31A987BB" w:rsidR="00C344E3" w:rsidRDefault="00C739BD">
      <w:pPr>
        <w:pStyle w:val="BodyText"/>
        <w:ind w:left="568"/>
      </w:pPr>
      <w:r>
        <w:t xml:space="preserve">Answer should </w:t>
      </w:r>
      <w:r w:rsidR="002D6DB9">
        <w:t>mention 5 of the following</w:t>
      </w:r>
      <w:r>
        <w:t>:</w:t>
      </w:r>
    </w:p>
    <w:p w14:paraId="4FC8E9F3" w14:textId="77777777" w:rsidR="00D72E29" w:rsidRDefault="00D72E29">
      <w:pPr>
        <w:pStyle w:val="BodyText"/>
        <w:ind w:left="568"/>
      </w:pPr>
    </w:p>
    <w:p w14:paraId="5401284D" w14:textId="3820473A" w:rsidR="002D6DB9" w:rsidRPr="00AB46AC" w:rsidRDefault="002D6DB9" w:rsidP="00AB46AC">
      <w:pPr>
        <w:pStyle w:val="Heading1"/>
        <w:numPr>
          <w:ilvl w:val="0"/>
          <w:numId w:val="12"/>
        </w:numPr>
        <w:rPr>
          <w:b w:val="0"/>
          <w:bCs w:val="0"/>
        </w:rPr>
      </w:pPr>
      <w:r w:rsidRPr="00AB46AC">
        <w:rPr>
          <w:b w:val="0"/>
          <w:bCs w:val="0"/>
        </w:rPr>
        <w:t xml:space="preserve">minimum and maximum ages for admission to a </w:t>
      </w:r>
      <w:proofErr w:type="gramStart"/>
      <w:r w:rsidRPr="00AB46AC">
        <w:rPr>
          <w:b w:val="0"/>
          <w:bCs w:val="0"/>
        </w:rPr>
        <w:t>scheme;</w:t>
      </w:r>
      <w:proofErr w:type="gramEnd"/>
    </w:p>
    <w:p w14:paraId="4B73F746" w14:textId="6BBEE94D" w:rsidR="002D6DB9" w:rsidRPr="00AB46AC" w:rsidRDefault="002D6DB9" w:rsidP="00AB46AC">
      <w:pPr>
        <w:pStyle w:val="ListParagraph"/>
        <w:numPr>
          <w:ilvl w:val="0"/>
          <w:numId w:val="12"/>
        </w:numPr>
        <w:tabs>
          <w:tab w:val="left" w:pos="1540"/>
          <w:tab w:val="left" w:pos="1541"/>
        </w:tabs>
        <w:ind w:right="102"/>
        <w:rPr>
          <w:sz w:val="18"/>
        </w:rPr>
      </w:pPr>
      <w:r w:rsidRPr="00AB46AC">
        <w:rPr>
          <w:sz w:val="18"/>
        </w:rPr>
        <w:t>a minimum level of pensionable pay for admission (provided not above lower earnings limit</w:t>
      </w:r>
      <w:proofErr w:type="gramStart"/>
      <w:r w:rsidRPr="00AB46AC">
        <w:rPr>
          <w:sz w:val="18"/>
        </w:rPr>
        <w:t>);</w:t>
      </w:r>
      <w:proofErr w:type="gramEnd"/>
    </w:p>
    <w:p w14:paraId="3AE22873" w14:textId="7935A529" w:rsidR="002D6DB9" w:rsidRPr="00AB46AC" w:rsidRDefault="002D6DB9" w:rsidP="00AB46AC">
      <w:pPr>
        <w:pStyle w:val="ListParagraph"/>
        <w:numPr>
          <w:ilvl w:val="0"/>
          <w:numId w:val="12"/>
        </w:numPr>
        <w:tabs>
          <w:tab w:val="left" w:pos="1540"/>
          <w:tab w:val="left" w:pos="1541"/>
        </w:tabs>
        <w:ind w:right="102"/>
        <w:rPr>
          <w:sz w:val="18"/>
        </w:rPr>
      </w:pPr>
      <w:r w:rsidRPr="00AB46AC">
        <w:rPr>
          <w:sz w:val="18"/>
        </w:rPr>
        <w:t xml:space="preserve">use of age-related criteria in actuarial </w:t>
      </w:r>
      <w:proofErr w:type="gramStart"/>
      <w:r w:rsidRPr="00AB46AC">
        <w:rPr>
          <w:sz w:val="18"/>
        </w:rPr>
        <w:t>calculations;</w:t>
      </w:r>
      <w:proofErr w:type="gramEnd"/>
    </w:p>
    <w:p w14:paraId="11368C76" w14:textId="28CEB647" w:rsidR="002D6DB9" w:rsidRPr="00AB46AC" w:rsidRDefault="002D6DB9" w:rsidP="00AB46AC">
      <w:pPr>
        <w:pStyle w:val="ListParagraph"/>
        <w:numPr>
          <w:ilvl w:val="0"/>
          <w:numId w:val="12"/>
        </w:numPr>
        <w:tabs>
          <w:tab w:val="left" w:pos="1540"/>
          <w:tab w:val="left" w:pos="1541"/>
        </w:tabs>
        <w:ind w:right="102"/>
        <w:rPr>
          <w:sz w:val="18"/>
        </w:rPr>
      </w:pPr>
      <w:r w:rsidRPr="00AB46AC">
        <w:rPr>
          <w:sz w:val="18"/>
        </w:rPr>
        <w:t xml:space="preserve">a minimum age for entitlement to </w:t>
      </w:r>
      <w:proofErr w:type="gramStart"/>
      <w:r w:rsidRPr="00AB46AC">
        <w:rPr>
          <w:sz w:val="18"/>
        </w:rPr>
        <w:t>benefits;</w:t>
      </w:r>
      <w:proofErr w:type="gramEnd"/>
    </w:p>
    <w:p w14:paraId="74B745AF" w14:textId="5CE12A50" w:rsidR="002D6DB9" w:rsidRPr="00AB46AC" w:rsidRDefault="002D6DB9" w:rsidP="00AB46AC">
      <w:pPr>
        <w:pStyle w:val="ListParagraph"/>
        <w:numPr>
          <w:ilvl w:val="0"/>
          <w:numId w:val="12"/>
        </w:numPr>
        <w:tabs>
          <w:tab w:val="left" w:pos="1540"/>
          <w:tab w:val="left" w:pos="1541"/>
        </w:tabs>
        <w:ind w:right="102"/>
        <w:rPr>
          <w:sz w:val="18"/>
        </w:rPr>
      </w:pPr>
      <w:r w:rsidRPr="00AB46AC">
        <w:rPr>
          <w:sz w:val="18"/>
        </w:rPr>
        <w:t xml:space="preserve">specified ages for drawing benefits early without reduction or late with an </w:t>
      </w:r>
      <w:proofErr w:type="gramStart"/>
      <w:r w:rsidRPr="00AB46AC">
        <w:rPr>
          <w:sz w:val="18"/>
        </w:rPr>
        <w:t>enhancement;</w:t>
      </w:r>
      <w:proofErr w:type="gramEnd"/>
    </w:p>
    <w:p w14:paraId="35F93AF8" w14:textId="2F386EE9" w:rsidR="002D6DB9" w:rsidRPr="00AB46AC" w:rsidRDefault="002D6DB9" w:rsidP="00AB46AC">
      <w:pPr>
        <w:pStyle w:val="ListParagraph"/>
        <w:numPr>
          <w:ilvl w:val="0"/>
          <w:numId w:val="12"/>
        </w:numPr>
        <w:tabs>
          <w:tab w:val="left" w:pos="1540"/>
          <w:tab w:val="left" w:pos="1541"/>
        </w:tabs>
        <w:ind w:right="102"/>
        <w:rPr>
          <w:sz w:val="18"/>
        </w:rPr>
      </w:pPr>
      <w:r w:rsidRPr="00AB46AC">
        <w:rPr>
          <w:sz w:val="18"/>
        </w:rPr>
        <w:t xml:space="preserve">ill-health pensions based on prospective </w:t>
      </w:r>
      <w:proofErr w:type="gramStart"/>
      <w:r w:rsidRPr="00AB46AC">
        <w:rPr>
          <w:sz w:val="18"/>
        </w:rPr>
        <w:t>service;</w:t>
      </w:r>
      <w:proofErr w:type="gramEnd"/>
      <w:r w:rsidRPr="00AB46AC">
        <w:rPr>
          <w:sz w:val="18"/>
        </w:rPr>
        <w:t xml:space="preserve"> </w:t>
      </w:r>
    </w:p>
    <w:p w14:paraId="29F649FF" w14:textId="40AA994C" w:rsidR="00D16503" w:rsidRDefault="002D6DB9" w:rsidP="00AB46AC">
      <w:pPr>
        <w:pStyle w:val="ListParagraph"/>
        <w:numPr>
          <w:ilvl w:val="0"/>
          <w:numId w:val="12"/>
        </w:numPr>
        <w:tabs>
          <w:tab w:val="left" w:pos="1540"/>
          <w:tab w:val="left" w:pos="1541"/>
        </w:tabs>
        <w:ind w:right="102"/>
        <w:rPr>
          <w:sz w:val="18"/>
        </w:rPr>
      </w:pPr>
      <w:r w:rsidRPr="00AB46AC">
        <w:rPr>
          <w:sz w:val="18"/>
        </w:rPr>
        <w:t>age-related contributions to occupational defined contribution schemes where the aim is to equalize benefits or make them more nearly equal.</w:t>
      </w:r>
    </w:p>
    <w:p w14:paraId="6BC7DDC3" w14:textId="1637C185" w:rsidR="00AB46AC" w:rsidRDefault="00AB46AC" w:rsidP="00AB46AC">
      <w:pPr>
        <w:tabs>
          <w:tab w:val="left" w:pos="1540"/>
          <w:tab w:val="left" w:pos="1541"/>
        </w:tabs>
        <w:ind w:left="1080" w:right="102"/>
        <w:rPr>
          <w:sz w:val="18"/>
        </w:rPr>
      </w:pPr>
    </w:p>
    <w:p w14:paraId="2D3E6D0A" w14:textId="176B4769" w:rsidR="00E91786" w:rsidRPr="00E91786" w:rsidRDefault="00AB46AC" w:rsidP="00AB46AC">
      <w:pPr>
        <w:tabs>
          <w:tab w:val="left" w:pos="1540"/>
          <w:tab w:val="left" w:pos="1541"/>
        </w:tabs>
        <w:ind w:right="102"/>
        <w:rPr>
          <w:sz w:val="18"/>
        </w:rPr>
      </w:pPr>
      <w:r>
        <w:rPr>
          <w:sz w:val="18"/>
        </w:rPr>
        <w:tab/>
      </w:r>
      <w:r w:rsidR="00E91786" w:rsidRPr="00E91786">
        <w:rPr>
          <w:sz w:val="18"/>
        </w:rPr>
        <w:t>(Relevant section of the manual is Part 3 Chapter 1.4.4)</w:t>
      </w:r>
    </w:p>
    <w:p w14:paraId="5E7BD5F2" w14:textId="6141DEA2" w:rsidR="00C344E3" w:rsidRDefault="00C344E3">
      <w:pPr>
        <w:pStyle w:val="BodyText"/>
        <w:spacing w:before="9"/>
        <w:rPr>
          <w:sz w:val="21"/>
        </w:rPr>
      </w:pPr>
    </w:p>
    <w:p w14:paraId="2FF0A130" w14:textId="5B43B4A8" w:rsidR="00E91786" w:rsidRDefault="00E91786" w:rsidP="00E91786">
      <w:pPr>
        <w:pStyle w:val="Heading1"/>
        <w:numPr>
          <w:ilvl w:val="0"/>
          <w:numId w:val="4"/>
        </w:numPr>
        <w:tabs>
          <w:tab w:val="left" w:pos="527"/>
          <w:tab w:val="left" w:pos="528"/>
        </w:tabs>
        <w:spacing w:before="63" w:line="276" w:lineRule="auto"/>
        <w:ind w:right="443"/>
      </w:pPr>
      <w:r>
        <w:t xml:space="preserve">Briefly outline the power the TPR has regarding the provision of </w:t>
      </w:r>
      <w:r w:rsidR="0086205F">
        <w:t xml:space="preserve">false or misleading </w:t>
      </w:r>
      <w:r>
        <w:t>information</w:t>
      </w:r>
      <w:r w:rsidR="0086205F">
        <w:t xml:space="preserve"> to TPR of pension trustees</w:t>
      </w:r>
      <w:r>
        <w:t>.</w:t>
      </w:r>
    </w:p>
    <w:p w14:paraId="3D646882" w14:textId="77777777" w:rsidR="00E91786" w:rsidRDefault="00E91786" w:rsidP="00E91786">
      <w:pPr>
        <w:spacing w:line="219" w:lineRule="exact"/>
        <w:ind w:left="8021"/>
        <w:rPr>
          <w:b/>
          <w:sz w:val="18"/>
        </w:rPr>
      </w:pPr>
      <w:r>
        <w:rPr>
          <w:b/>
          <w:sz w:val="18"/>
        </w:rPr>
        <w:t>5 marks</w:t>
      </w:r>
    </w:p>
    <w:p w14:paraId="500A144C" w14:textId="77777777" w:rsidR="00E91786" w:rsidRDefault="00E91786" w:rsidP="00E91786">
      <w:pPr>
        <w:pStyle w:val="BodyText"/>
        <w:spacing w:before="34"/>
        <w:ind w:left="527"/>
      </w:pPr>
      <w:r>
        <w:t>Answer should cover:</w:t>
      </w:r>
    </w:p>
    <w:p w14:paraId="2DB995FB" w14:textId="77777777" w:rsidR="00E91786" w:rsidRDefault="00E91786" w:rsidP="00E91786">
      <w:pPr>
        <w:pStyle w:val="BodyText"/>
        <w:spacing w:before="7"/>
        <w:rPr>
          <w:sz w:val="20"/>
        </w:rPr>
      </w:pPr>
    </w:p>
    <w:p w14:paraId="0BC4F471" w14:textId="77777777" w:rsidR="0086205F" w:rsidRDefault="0086205F" w:rsidP="0086205F">
      <w:pPr>
        <w:pStyle w:val="BodyText"/>
        <w:numPr>
          <w:ilvl w:val="0"/>
          <w:numId w:val="9"/>
        </w:numPr>
        <w:spacing w:before="3"/>
      </w:pPr>
      <w:r>
        <w:t>Provision of Information to TPR:</w:t>
      </w:r>
    </w:p>
    <w:p w14:paraId="392C8A21" w14:textId="54F01077" w:rsidR="0086205F" w:rsidRDefault="0086205F" w:rsidP="0086205F">
      <w:pPr>
        <w:pStyle w:val="BodyText"/>
        <w:numPr>
          <w:ilvl w:val="1"/>
          <w:numId w:val="9"/>
        </w:numPr>
        <w:spacing w:before="3"/>
      </w:pPr>
      <w:r>
        <w:t xml:space="preserve">A new section 80A was inserted into the Pensions Act 2004 by the Pension Schemes Act </w:t>
      </w:r>
      <w:proofErr w:type="gramStart"/>
      <w:r>
        <w:t>2021;</w:t>
      </w:r>
      <w:proofErr w:type="gramEnd"/>
    </w:p>
    <w:p w14:paraId="38994C8B" w14:textId="2AD44787" w:rsidR="0086205F" w:rsidRDefault="0086205F" w:rsidP="0086205F">
      <w:pPr>
        <w:pStyle w:val="BodyText"/>
        <w:numPr>
          <w:ilvl w:val="1"/>
          <w:numId w:val="9"/>
        </w:numPr>
        <w:spacing w:before="3"/>
      </w:pPr>
      <w:r>
        <w:t xml:space="preserve">Gives TPR power to issue fines of up to £1 million to a person who has knowingly or recklessly provided information to TPR, provided in certain circumstances, that is false or </w:t>
      </w:r>
      <w:proofErr w:type="gramStart"/>
      <w:r>
        <w:t>misleading</w:t>
      </w:r>
      <w:r w:rsidR="00AB46AC">
        <w:t>;</w:t>
      </w:r>
      <w:proofErr w:type="gramEnd"/>
      <w:r>
        <w:t xml:space="preserve"> </w:t>
      </w:r>
    </w:p>
    <w:p w14:paraId="6C1A4011" w14:textId="551B7FA0" w:rsidR="0086205F" w:rsidRDefault="0086205F" w:rsidP="0086205F">
      <w:pPr>
        <w:pStyle w:val="BodyText"/>
        <w:numPr>
          <w:ilvl w:val="1"/>
          <w:numId w:val="9"/>
        </w:numPr>
        <w:spacing w:before="3"/>
      </w:pPr>
      <w:r>
        <w:t>includes the pension scheme return and notifiable events</w:t>
      </w:r>
    </w:p>
    <w:p w14:paraId="3D5CF399" w14:textId="77777777" w:rsidR="0086205F" w:rsidRDefault="0086205F" w:rsidP="0086205F">
      <w:pPr>
        <w:pStyle w:val="BodyText"/>
        <w:numPr>
          <w:ilvl w:val="0"/>
          <w:numId w:val="9"/>
        </w:numPr>
        <w:spacing w:before="3"/>
      </w:pPr>
      <w:r>
        <w:t>Provision of Information to Pension Trustees:</w:t>
      </w:r>
    </w:p>
    <w:p w14:paraId="32EE807F" w14:textId="2D2E2A7A" w:rsidR="0086205F" w:rsidRDefault="0086205F" w:rsidP="0086205F">
      <w:pPr>
        <w:pStyle w:val="BodyText"/>
        <w:numPr>
          <w:ilvl w:val="1"/>
          <w:numId w:val="9"/>
        </w:numPr>
        <w:spacing w:before="3"/>
      </w:pPr>
      <w:r>
        <w:t xml:space="preserve">A new section 80A was inserted into the Pensions Act 2004 by the Pension Schemes Act </w:t>
      </w:r>
      <w:proofErr w:type="gramStart"/>
      <w:r>
        <w:t>2021;</w:t>
      </w:r>
      <w:proofErr w:type="gramEnd"/>
    </w:p>
    <w:p w14:paraId="02C46726" w14:textId="001E70A6" w:rsidR="0086205F" w:rsidRDefault="0086205F" w:rsidP="0086205F">
      <w:pPr>
        <w:pStyle w:val="BodyText"/>
        <w:numPr>
          <w:ilvl w:val="1"/>
          <w:numId w:val="9"/>
        </w:numPr>
        <w:spacing w:before="3"/>
      </w:pPr>
      <w:r>
        <w:t xml:space="preserve">Gives TPR power to issue fines of up to £1 million to a person who has knowingly or recklessly provided information to </w:t>
      </w:r>
      <w:r w:rsidR="00AB46AC">
        <w:t>the trustees of a DB pension scheme</w:t>
      </w:r>
      <w:r>
        <w:t xml:space="preserve">, provided in certain circumstances, that is false or </w:t>
      </w:r>
      <w:proofErr w:type="gramStart"/>
      <w:r>
        <w:t>misleading</w:t>
      </w:r>
      <w:r w:rsidR="00AB46AC">
        <w:t>;</w:t>
      </w:r>
      <w:proofErr w:type="gramEnd"/>
      <w:r>
        <w:t xml:space="preserve"> </w:t>
      </w:r>
    </w:p>
    <w:p w14:paraId="43B5DC92" w14:textId="2CC8DADD" w:rsidR="0086205F" w:rsidRDefault="0086205F" w:rsidP="0086205F">
      <w:pPr>
        <w:pStyle w:val="BodyText"/>
        <w:numPr>
          <w:ilvl w:val="1"/>
          <w:numId w:val="9"/>
        </w:numPr>
        <w:spacing w:before="3"/>
      </w:pPr>
      <w:r>
        <w:t>includes the pension scheme return and notifiable events</w:t>
      </w:r>
    </w:p>
    <w:p w14:paraId="308129D3" w14:textId="09872554" w:rsidR="00AB46AC" w:rsidRDefault="00AB46AC" w:rsidP="00AB46AC">
      <w:pPr>
        <w:pStyle w:val="BodyText"/>
        <w:numPr>
          <w:ilvl w:val="0"/>
          <w:numId w:val="9"/>
        </w:numPr>
        <w:spacing w:before="3"/>
      </w:pPr>
      <w:r>
        <w:t>In both cases the fine is also available where the person providing the information intends, or could be reasonably expected to know, that TPR would use the information for the purpose of carrying out its functions.</w:t>
      </w:r>
    </w:p>
    <w:p w14:paraId="615070A4" w14:textId="32DB969F" w:rsidR="0086205F" w:rsidRDefault="0086205F" w:rsidP="00AB46AC">
      <w:pPr>
        <w:pStyle w:val="BodyText"/>
        <w:spacing w:before="3"/>
        <w:ind w:left="1080"/>
      </w:pPr>
    </w:p>
    <w:p w14:paraId="77980EAA" w14:textId="0A29918A" w:rsidR="00E91786" w:rsidRDefault="0086205F" w:rsidP="00E91786">
      <w:pPr>
        <w:pStyle w:val="BodyText"/>
        <w:ind w:left="527"/>
      </w:pPr>
      <w:r>
        <w:t>(</w:t>
      </w:r>
      <w:r w:rsidR="00E91786">
        <w:t>Relevant section of the manual is Part 3 Chapter 1.</w:t>
      </w:r>
      <w:r>
        <w:t>9)</w:t>
      </w:r>
    </w:p>
    <w:p w14:paraId="4FCB8592" w14:textId="1F777EBB" w:rsidR="00C344E3" w:rsidRDefault="00C344E3">
      <w:pPr>
        <w:pStyle w:val="BodyText"/>
        <w:ind w:left="527"/>
      </w:pPr>
    </w:p>
    <w:p w14:paraId="6BDD1534" w14:textId="77777777" w:rsidR="00E91786" w:rsidRDefault="00E91786"/>
    <w:p w14:paraId="3EF1E8B4" w14:textId="460B051D" w:rsidR="00C344E3" w:rsidRDefault="002E547D">
      <w:pPr>
        <w:pStyle w:val="Heading1"/>
        <w:numPr>
          <w:ilvl w:val="0"/>
          <w:numId w:val="4"/>
        </w:numPr>
        <w:tabs>
          <w:tab w:val="left" w:pos="527"/>
          <w:tab w:val="left" w:pos="528"/>
        </w:tabs>
        <w:spacing w:before="1"/>
        <w:ind w:left="527" w:hanging="428"/>
      </w:pPr>
      <w:r>
        <w:t>In a share sale, ownership of the Target company transfers from the buyer to the seller. State four common scenarios where pension issues may arise and briefly outline how these ci</w:t>
      </w:r>
      <w:r w:rsidR="00407424">
        <w:t>rc</w:t>
      </w:r>
      <w:r>
        <w:t>umstances are typically dealt with</w:t>
      </w:r>
      <w:r w:rsidR="00C739BD">
        <w:t>.</w:t>
      </w:r>
    </w:p>
    <w:p w14:paraId="4E44351E" w14:textId="77777777" w:rsidR="00D72E29" w:rsidRDefault="00D72E29" w:rsidP="00EC5327">
      <w:pPr>
        <w:spacing w:before="34"/>
        <w:ind w:left="8021"/>
        <w:rPr>
          <w:b/>
          <w:sz w:val="18"/>
        </w:rPr>
      </w:pPr>
    </w:p>
    <w:p w14:paraId="7D97FDCB" w14:textId="67A8B568" w:rsidR="00C344E3" w:rsidRPr="00EC5327" w:rsidRDefault="00C739BD" w:rsidP="00EC5327">
      <w:pPr>
        <w:spacing w:before="34"/>
        <w:ind w:left="8021"/>
        <w:rPr>
          <w:b/>
          <w:sz w:val="18"/>
        </w:rPr>
      </w:pPr>
      <w:r>
        <w:rPr>
          <w:b/>
          <w:sz w:val="18"/>
        </w:rPr>
        <w:t>10 marks</w:t>
      </w:r>
    </w:p>
    <w:p w14:paraId="5F424DEE" w14:textId="54C0E0BE" w:rsidR="00DF0CCF" w:rsidRDefault="00C739BD">
      <w:pPr>
        <w:pStyle w:val="BodyText"/>
        <w:spacing w:before="64"/>
        <w:ind w:left="527"/>
      </w:pPr>
      <w:r>
        <w:t>Answer should cover:</w:t>
      </w:r>
    </w:p>
    <w:p w14:paraId="067AC154" w14:textId="77777777" w:rsidR="002E547D" w:rsidRDefault="002E547D">
      <w:pPr>
        <w:pStyle w:val="BodyText"/>
        <w:spacing w:before="64"/>
        <w:ind w:left="527"/>
      </w:pPr>
    </w:p>
    <w:p w14:paraId="4AF04A02" w14:textId="63D43CD1" w:rsidR="00C344E3" w:rsidRDefault="002E547D" w:rsidP="002E547D">
      <w:pPr>
        <w:pStyle w:val="BodyText"/>
        <w:ind w:left="527"/>
      </w:pPr>
      <w:r>
        <w:t>The target is the sole employer of an occupational pension scheme:</w:t>
      </w:r>
    </w:p>
    <w:p w14:paraId="602DFB36" w14:textId="58D21768" w:rsidR="002E547D" w:rsidRDefault="002E547D" w:rsidP="002E547D">
      <w:pPr>
        <w:pStyle w:val="BodyText"/>
        <w:numPr>
          <w:ilvl w:val="0"/>
          <w:numId w:val="6"/>
        </w:numPr>
      </w:pPr>
      <w:r>
        <w:t xml:space="preserve">Pension scheme likely to remain with the </w:t>
      </w:r>
      <w:proofErr w:type="gramStart"/>
      <w:r>
        <w:t>Target</w:t>
      </w:r>
      <w:r w:rsidR="00407424">
        <w:t>;</w:t>
      </w:r>
      <w:proofErr w:type="gramEnd"/>
    </w:p>
    <w:p w14:paraId="1A89BAE4" w14:textId="18E498A9" w:rsidR="002E547D" w:rsidRDefault="002E547D" w:rsidP="002E547D">
      <w:pPr>
        <w:pStyle w:val="BodyText"/>
        <w:numPr>
          <w:ilvl w:val="0"/>
          <w:numId w:val="6"/>
        </w:numPr>
      </w:pPr>
      <w:r>
        <w:t xml:space="preserve">Target becomes part of the buyer’s corporate </w:t>
      </w:r>
      <w:proofErr w:type="gramStart"/>
      <w:r>
        <w:t>group;</w:t>
      </w:r>
      <w:proofErr w:type="gramEnd"/>
    </w:p>
    <w:p w14:paraId="14C13FFF" w14:textId="096AC3DA" w:rsidR="002E547D" w:rsidRDefault="002E547D" w:rsidP="002E547D">
      <w:pPr>
        <w:pStyle w:val="BodyText"/>
        <w:numPr>
          <w:ilvl w:val="0"/>
          <w:numId w:val="6"/>
        </w:numPr>
      </w:pPr>
      <w:r>
        <w:t xml:space="preserve">Target remains liable </w:t>
      </w:r>
      <w:r w:rsidR="00407424">
        <w:t>to fund the scheme in the same way as prior to the transaction.</w:t>
      </w:r>
    </w:p>
    <w:p w14:paraId="7F5412E7" w14:textId="77777777" w:rsidR="00C344E3" w:rsidRDefault="00C344E3">
      <w:pPr>
        <w:pStyle w:val="BodyText"/>
        <w:spacing w:before="7"/>
        <w:rPr>
          <w:sz w:val="20"/>
        </w:rPr>
      </w:pPr>
    </w:p>
    <w:p w14:paraId="57662280" w14:textId="1C4B0D35" w:rsidR="00C344E3" w:rsidRDefault="00407424">
      <w:pPr>
        <w:pStyle w:val="BodyText"/>
        <w:ind w:left="527"/>
      </w:pPr>
      <w:r>
        <w:t>The Target is the principal employer of a multi-employer pension scheme</w:t>
      </w:r>
      <w:r w:rsidR="00C739BD">
        <w:t>:</w:t>
      </w:r>
    </w:p>
    <w:p w14:paraId="044668A3" w14:textId="32C3B283" w:rsidR="00C344E3" w:rsidRDefault="00407424" w:rsidP="00407424">
      <w:pPr>
        <w:pStyle w:val="ListParagraph"/>
        <w:numPr>
          <w:ilvl w:val="1"/>
          <w:numId w:val="4"/>
        </w:numPr>
        <w:tabs>
          <w:tab w:val="left" w:pos="1540"/>
          <w:tab w:val="left" w:pos="1541"/>
        </w:tabs>
        <w:spacing w:before="35"/>
        <w:rPr>
          <w:sz w:val="18"/>
        </w:rPr>
      </w:pPr>
      <w:r>
        <w:rPr>
          <w:sz w:val="18"/>
        </w:rPr>
        <w:t>Generally, scheme remains with principal employer, the Target, which remains liable to fund scheme</w:t>
      </w:r>
      <w:r w:rsidR="00DF0CCF">
        <w:rPr>
          <w:sz w:val="18"/>
        </w:rPr>
        <w:t>.</w:t>
      </w:r>
    </w:p>
    <w:p w14:paraId="68B5BCFF" w14:textId="4498BE89" w:rsidR="00C344E3" w:rsidRDefault="00407424" w:rsidP="00407424">
      <w:pPr>
        <w:pStyle w:val="BodyText"/>
        <w:numPr>
          <w:ilvl w:val="1"/>
          <w:numId w:val="4"/>
        </w:numPr>
        <w:spacing w:line="219" w:lineRule="exact"/>
      </w:pPr>
      <w:r>
        <w:t xml:space="preserve">Scheme becomes part of the buyer’s </w:t>
      </w:r>
      <w:proofErr w:type="gramStart"/>
      <w:r>
        <w:t>group;</w:t>
      </w:r>
      <w:proofErr w:type="gramEnd"/>
    </w:p>
    <w:p w14:paraId="537B6127" w14:textId="77777777" w:rsidR="00424994" w:rsidRDefault="00407424" w:rsidP="00407424">
      <w:pPr>
        <w:pStyle w:val="ListParagraph"/>
        <w:numPr>
          <w:ilvl w:val="1"/>
          <w:numId w:val="4"/>
        </w:numPr>
        <w:tabs>
          <w:tab w:val="left" w:pos="1540"/>
          <w:tab w:val="left" w:pos="1541"/>
        </w:tabs>
        <w:spacing w:before="1" w:line="229" w:lineRule="exact"/>
        <w:ind w:left="1540" w:hanging="361"/>
        <w:rPr>
          <w:sz w:val="18"/>
        </w:rPr>
      </w:pPr>
      <w:r>
        <w:rPr>
          <w:sz w:val="18"/>
        </w:rPr>
        <w:t xml:space="preserve">If buyer not acquiring </w:t>
      </w:r>
      <w:proofErr w:type="gramStart"/>
      <w:r>
        <w:rPr>
          <w:sz w:val="18"/>
        </w:rPr>
        <w:t>all of</w:t>
      </w:r>
      <w:proofErr w:type="gramEnd"/>
      <w:r>
        <w:rPr>
          <w:sz w:val="18"/>
        </w:rPr>
        <w:t xml:space="preserve"> the scheme’s other participating employers, a mechanism is required to enable the other participating employers to leave the scheme</w:t>
      </w:r>
    </w:p>
    <w:p w14:paraId="30578B1D" w14:textId="3F4AFA53" w:rsidR="00407424" w:rsidRPr="00407424" w:rsidRDefault="00424994" w:rsidP="00407424">
      <w:pPr>
        <w:pStyle w:val="ListParagraph"/>
        <w:numPr>
          <w:ilvl w:val="1"/>
          <w:numId w:val="4"/>
        </w:numPr>
        <w:tabs>
          <w:tab w:val="left" w:pos="1540"/>
          <w:tab w:val="left" w:pos="1541"/>
        </w:tabs>
        <w:spacing w:before="1" w:line="229" w:lineRule="exact"/>
        <w:ind w:left="1540" w:hanging="361"/>
        <w:rPr>
          <w:sz w:val="18"/>
        </w:rPr>
      </w:pPr>
      <w:r w:rsidRPr="00424994">
        <w:rPr>
          <w:sz w:val="18"/>
        </w:rPr>
        <w:t>Exiting employers must discharge their share of the liabilities, including any S75 debt</w:t>
      </w:r>
      <w:r w:rsidR="00407424">
        <w:rPr>
          <w:sz w:val="18"/>
        </w:rPr>
        <w:t>.</w:t>
      </w:r>
    </w:p>
    <w:p w14:paraId="326CD7B1" w14:textId="77777777" w:rsidR="00C344E3" w:rsidRDefault="00C344E3">
      <w:pPr>
        <w:pStyle w:val="BodyText"/>
        <w:spacing w:before="2"/>
      </w:pPr>
    </w:p>
    <w:p w14:paraId="5EE6715C" w14:textId="57123E5E" w:rsidR="00407424" w:rsidRDefault="00407424" w:rsidP="00407424">
      <w:pPr>
        <w:pStyle w:val="BodyText"/>
        <w:ind w:left="527"/>
      </w:pPr>
      <w:r>
        <w:t>The Target is a participating employer of a multi-employer pension scheme:</w:t>
      </w:r>
    </w:p>
    <w:p w14:paraId="4997C6BD" w14:textId="17CA3D27" w:rsidR="00407424" w:rsidRDefault="00407424" w:rsidP="00407424">
      <w:pPr>
        <w:pStyle w:val="ListParagraph"/>
        <w:numPr>
          <w:ilvl w:val="1"/>
          <w:numId w:val="4"/>
        </w:numPr>
        <w:tabs>
          <w:tab w:val="left" w:pos="1540"/>
          <w:tab w:val="left" w:pos="1541"/>
        </w:tabs>
        <w:spacing w:before="35"/>
        <w:rPr>
          <w:sz w:val="18"/>
        </w:rPr>
      </w:pPr>
      <w:r>
        <w:rPr>
          <w:sz w:val="18"/>
        </w:rPr>
        <w:t xml:space="preserve">Generally, scheme remains with principal </w:t>
      </w:r>
      <w:proofErr w:type="gramStart"/>
      <w:r>
        <w:rPr>
          <w:sz w:val="18"/>
        </w:rPr>
        <w:t>employer;</w:t>
      </w:r>
      <w:proofErr w:type="gramEnd"/>
    </w:p>
    <w:p w14:paraId="5EB02536" w14:textId="6215F331" w:rsidR="00407424" w:rsidRDefault="00407424" w:rsidP="00407424">
      <w:pPr>
        <w:pStyle w:val="BodyText"/>
        <w:numPr>
          <w:ilvl w:val="1"/>
          <w:numId w:val="4"/>
        </w:numPr>
        <w:spacing w:line="219" w:lineRule="exact"/>
      </w:pPr>
      <w:r>
        <w:lastRenderedPageBreak/>
        <w:t xml:space="preserve">Scheme remains part of the seller’s </w:t>
      </w:r>
      <w:proofErr w:type="gramStart"/>
      <w:r>
        <w:t>group;</w:t>
      </w:r>
      <w:proofErr w:type="gramEnd"/>
    </w:p>
    <w:p w14:paraId="051BFACE" w14:textId="77777777" w:rsidR="00424994" w:rsidRDefault="00407424" w:rsidP="00407424">
      <w:pPr>
        <w:pStyle w:val="BodyText"/>
        <w:numPr>
          <w:ilvl w:val="1"/>
          <w:numId w:val="4"/>
        </w:numPr>
      </w:pPr>
      <w:r>
        <w:t xml:space="preserve">The Target will need to leave the scheme on completion of the </w:t>
      </w:r>
      <w:proofErr w:type="gramStart"/>
      <w:r>
        <w:t>transaction</w:t>
      </w:r>
      <w:r w:rsidR="00424994">
        <w:t>;</w:t>
      </w:r>
      <w:proofErr w:type="gramEnd"/>
    </w:p>
    <w:p w14:paraId="7DCB68B3" w14:textId="3A7215AF" w:rsidR="00407424" w:rsidRDefault="00424994" w:rsidP="00407424">
      <w:pPr>
        <w:pStyle w:val="BodyText"/>
        <w:numPr>
          <w:ilvl w:val="1"/>
          <w:numId w:val="4"/>
        </w:numPr>
      </w:pPr>
      <w:r>
        <w:t>The Target must discharge their share of the liabilities, including any S75 debt</w:t>
      </w:r>
      <w:r w:rsidR="00407424">
        <w:t>.</w:t>
      </w:r>
      <w:r w:rsidR="00407424" w:rsidRPr="00407424">
        <w:t xml:space="preserve"> </w:t>
      </w:r>
    </w:p>
    <w:p w14:paraId="67931840" w14:textId="77777777" w:rsidR="00407424" w:rsidRDefault="00407424" w:rsidP="00407424">
      <w:pPr>
        <w:pStyle w:val="BodyText"/>
        <w:ind w:left="527"/>
      </w:pPr>
    </w:p>
    <w:p w14:paraId="562F5F4A" w14:textId="3BA4F7DE" w:rsidR="00407424" w:rsidRDefault="00407424" w:rsidP="00407424">
      <w:pPr>
        <w:pStyle w:val="BodyText"/>
        <w:ind w:left="527"/>
      </w:pPr>
      <w:r>
        <w:t>The Target to a group personal pension plan:</w:t>
      </w:r>
    </w:p>
    <w:p w14:paraId="72678913" w14:textId="5DE083DF" w:rsidR="00407424" w:rsidRDefault="00407424" w:rsidP="00407424">
      <w:pPr>
        <w:pStyle w:val="ListParagraph"/>
        <w:numPr>
          <w:ilvl w:val="1"/>
          <w:numId w:val="4"/>
        </w:numPr>
        <w:tabs>
          <w:tab w:val="left" w:pos="1540"/>
          <w:tab w:val="left" w:pos="1541"/>
        </w:tabs>
        <w:spacing w:before="35"/>
        <w:rPr>
          <w:sz w:val="18"/>
        </w:rPr>
      </w:pPr>
      <w:r>
        <w:rPr>
          <w:sz w:val="18"/>
        </w:rPr>
        <w:t xml:space="preserve">Obligation to contribute to the GPP </w:t>
      </w:r>
      <w:r w:rsidR="00424994">
        <w:rPr>
          <w:sz w:val="18"/>
        </w:rPr>
        <w:t xml:space="preserve">remains with the </w:t>
      </w:r>
      <w:proofErr w:type="gramStart"/>
      <w:r w:rsidR="00424994">
        <w:rPr>
          <w:sz w:val="18"/>
        </w:rPr>
        <w:t>Target</w:t>
      </w:r>
      <w:r>
        <w:rPr>
          <w:sz w:val="18"/>
        </w:rPr>
        <w:t>;</w:t>
      </w:r>
      <w:proofErr w:type="gramEnd"/>
    </w:p>
    <w:p w14:paraId="09028D06" w14:textId="77DD652A" w:rsidR="00407424" w:rsidRDefault="00424994" w:rsidP="00407424">
      <w:pPr>
        <w:pStyle w:val="BodyText"/>
        <w:numPr>
          <w:ilvl w:val="1"/>
          <w:numId w:val="4"/>
        </w:numPr>
        <w:spacing w:line="219" w:lineRule="exact"/>
      </w:pPr>
      <w:r>
        <w:t>If the seller’s group operated the plan, the Target may need to set up a new plan for employees to join immediately after the transaction.</w:t>
      </w:r>
    </w:p>
    <w:p w14:paraId="5E5B6A09" w14:textId="77777777" w:rsidR="00C344E3" w:rsidRDefault="00C344E3">
      <w:pPr>
        <w:pStyle w:val="BodyText"/>
        <w:spacing w:before="9"/>
        <w:rPr>
          <w:sz w:val="21"/>
        </w:rPr>
      </w:pPr>
    </w:p>
    <w:p w14:paraId="73FFBD93" w14:textId="1117CAF7" w:rsidR="00C344E3" w:rsidRDefault="00C739BD">
      <w:pPr>
        <w:pStyle w:val="BodyText"/>
        <w:ind w:left="527"/>
      </w:pPr>
      <w:r>
        <w:t>(Relevant section of the manual is Part 4 Chapter 1.</w:t>
      </w:r>
      <w:r w:rsidR="00407424">
        <w:t>4.</w:t>
      </w:r>
      <w:r>
        <w:t>1)</w:t>
      </w:r>
    </w:p>
    <w:p w14:paraId="1A9C838A" w14:textId="77777777" w:rsidR="00C344E3" w:rsidRDefault="00C344E3"/>
    <w:p w14:paraId="1CA8634A" w14:textId="77777777" w:rsidR="00D72E29" w:rsidRDefault="00D72E29"/>
    <w:p w14:paraId="62BAE924" w14:textId="77777777" w:rsidR="00C344E3" w:rsidRDefault="00C344E3">
      <w:pPr>
        <w:rPr>
          <w:sz w:val="15"/>
        </w:rPr>
        <w:sectPr w:rsidR="00C344E3">
          <w:pgSz w:w="11910" w:h="16840"/>
          <w:pgMar w:top="2200" w:right="1600" w:bottom="640" w:left="1340" w:header="167" w:footer="451" w:gutter="0"/>
          <w:cols w:space="720"/>
        </w:sectPr>
      </w:pPr>
    </w:p>
    <w:p w14:paraId="6C0224C9" w14:textId="719CE07B" w:rsidR="00424994" w:rsidRDefault="00424994" w:rsidP="00424994">
      <w:pPr>
        <w:pStyle w:val="Heading1"/>
        <w:numPr>
          <w:ilvl w:val="0"/>
          <w:numId w:val="4"/>
        </w:numPr>
        <w:tabs>
          <w:tab w:val="left" w:pos="460"/>
          <w:tab w:val="left" w:pos="461"/>
        </w:tabs>
        <w:spacing w:line="276" w:lineRule="auto"/>
        <w:ind w:right="352"/>
      </w:pPr>
      <w:r>
        <w:t>Describe the key stages of a transaction pertaining to share sales and business sales.</w:t>
      </w:r>
    </w:p>
    <w:p w14:paraId="294A2224" w14:textId="77777777" w:rsidR="00424994" w:rsidRPr="00EC5327" w:rsidRDefault="00424994" w:rsidP="00424994">
      <w:pPr>
        <w:spacing w:line="218" w:lineRule="exact"/>
        <w:ind w:right="353"/>
        <w:jc w:val="right"/>
        <w:rPr>
          <w:b/>
          <w:sz w:val="18"/>
        </w:rPr>
      </w:pPr>
      <w:r>
        <w:rPr>
          <w:b/>
          <w:sz w:val="18"/>
        </w:rPr>
        <w:t>10 marks</w:t>
      </w:r>
    </w:p>
    <w:p w14:paraId="1C0C80F1" w14:textId="77777777" w:rsidR="00424994" w:rsidRDefault="00424994" w:rsidP="00424994">
      <w:pPr>
        <w:pStyle w:val="BodyText"/>
        <w:spacing w:before="64"/>
        <w:ind w:left="527"/>
      </w:pPr>
      <w:r>
        <w:t>Answer should cover:</w:t>
      </w:r>
    </w:p>
    <w:p w14:paraId="26BB6A6E" w14:textId="77777777" w:rsidR="00424994" w:rsidRDefault="00424994" w:rsidP="00424994">
      <w:pPr>
        <w:pStyle w:val="BodyText"/>
        <w:spacing w:before="11"/>
        <w:rPr>
          <w:sz w:val="17"/>
        </w:rPr>
      </w:pPr>
    </w:p>
    <w:p w14:paraId="7EEEBF5F" w14:textId="27816072" w:rsidR="00424994" w:rsidRDefault="00E90B5D" w:rsidP="00424994">
      <w:pPr>
        <w:pStyle w:val="BodyText"/>
        <w:numPr>
          <w:ilvl w:val="0"/>
          <w:numId w:val="5"/>
        </w:numPr>
        <w:spacing w:before="11"/>
      </w:pPr>
      <w:r>
        <w:t>Due diligence</w:t>
      </w:r>
      <w:r w:rsidR="00424994">
        <w:t>:</w:t>
      </w:r>
    </w:p>
    <w:p w14:paraId="28308F4E" w14:textId="78DE9E14" w:rsidR="00424994" w:rsidRDefault="00E90B5D" w:rsidP="00E90B5D">
      <w:pPr>
        <w:pStyle w:val="BodyText"/>
        <w:numPr>
          <w:ilvl w:val="1"/>
          <w:numId w:val="5"/>
        </w:numPr>
        <w:spacing w:before="11"/>
      </w:pPr>
      <w:r>
        <w:t xml:space="preserve">buyer’s investigation Target company prior to deciding whether to proceed with the </w:t>
      </w:r>
      <w:proofErr w:type="gramStart"/>
      <w:r>
        <w:t>transaction</w:t>
      </w:r>
      <w:r w:rsidR="00424994">
        <w:t>;</w:t>
      </w:r>
      <w:proofErr w:type="gramEnd"/>
    </w:p>
    <w:p w14:paraId="69F67D79" w14:textId="24253DDE" w:rsidR="00424994" w:rsidRDefault="00E90B5D" w:rsidP="00424994">
      <w:pPr>
        <w:pStyle w:val="BodyText"/>
        <w:numPr>
          <w:ilvl w:val="1"/>
          <w:numId w:val="5"/>
        </w:numPr>
        <w:spacing w:before="11"/>
      </w:pPr>
      <w:r>
        <w:t xml:space="preserve">solicitors, accountants, professional advisers report on all aspects of Target’s </w:t>
      </w:r>
      <w:proofErr w:type="gramStart"/>
      <w:r>
        <w:t>business</w:t>
      </w:r>
      <w:r w:rsidR="00424994">
        <w:t>;</w:t>
      </w:r>
      <w:proofErr w:type="gramEnd"/>
    </w:p>
    <w:p w14:paraId="30387881" w14:textId="11B1F3BF" w:rsidR="00424994" w:rsidRDefault="00E90B5D" w:rsidP="00424994">
      <w:pPr>
        <w:pStyle w:val="BodyText"/>
        <w:numPr>
          <w:ilvl w:val="1"/>
          <w:numId w:val="5"/>
        </w:numPr>
        <w:spacing w:before="11"/>
      </w:pPr>
      <w:r>
        <w:t xml:space="preserve">includes Target’s financial position, properties, current disputes and pension </w:t>
      </w:r>
      <w:proofErr w:type="gramStart"/>
      <w:r>
        <w:t>arrangements</w:t>
      </w:r>
      <w:r w:rsidR="00424994">
        <w:t>;</w:t>
      </w:r>
      <w:proofErr w:type="gramEnd"/>
    </w:p>
    <w:p w14:paraId="0173B5C6" w14:textId="60D381AC" w:rsidR="00424994" w:rsidRDefault="00E90B5D" w:rsidP="00424994">
      <w:pPr>
        <w:pStyle w:val="BodyText"/>
        <w:numPr>
          <w:ilvl w:val="1"/>
          <w:numId w:val="5"/>
        </w:numPr>
        <w:spacing w:before="11"/>
      </w:pPr>
      <w:r>
        <w:t>information normally provided by the seller</w:t>
      </w:r>
      <w:r w:rsidR="00424994">
        <w:t>.</w:t>
      </w:r>
    </w:p>
    <w:p w14:paraId="12088E92" w14:textId="77777777" w:rsidR="00E90B5D" w:rsidRDefault="00E90B5D" w:rsidP="00E90B5D">
      <w:pPr>
        <w:pStyle w:val="BodyText"/>
        <w:numPr>
          <w:ilvl w:val="0"/>
          <w:numId w:val="5"/>
        </w:numPr>
        <w:spacing w:before="11"/>
      </w:pPr>
      <w:r>
        <w:t>Negotiation</w:t>
      </w:r>
      <w:r w:rsidR="00424994">
        <w:t>:</w:t>
      </w:r>
    </w:p>
    <w:p w14:paraId="6D523899" w14:textId="7AC1E671" w:rsidR="00E90B5D" w:rsidRDefault="00E90B5D" w:rsidP="00E90B5D">
      <w:pPr>
        <w:pStyle w:val="BodyText"/>
        <w:numPr>
          <w:ilvl w:val="1"/>
          <w:numId w:val="5"/>
        </w:numPr>
        <w:spacing w:before="11"/>
      </w:pPr>
      <w:r>
        <w:t xml:space="preserve">Once due diligence complete, parties negotiate final terms of the </w:t>
      </w:r>
      <w:proofErr w:type="gramStart"/>
      <w:r>
        <w:t>transaction;</w:t>
      </w:r>
      <w:proofErr w:type="gramEnd"/>
    </w:p>
    <w:p w14:paraId="06524351" w14:textId="0001D5E4" w:rsidR="00E90B5D" w:rsidRDefault="00E90B5D" w:rsidP="00E90B5D">
      <w:pPr>
        <w:pStyle w:val="BodyText"/>
        <w:numPr>
          <w:ilvl w:val="1"/>
          <w:numId w:val="5"/>
        </w:numPr>
        <w:spacing w:before="11"/>
      </w:pPr>
      <w:r>
        <w:t xml:space="preserve">Once agreed, terms documented in a Sale and Purchase </w:t>
      </w:r>
      <w:proofErr w:type="gramStart"/>
      <w:r>
        <w:t>Agreement;</w:t>
      </w:r>
      <w:proofErr w:type="gramEnd"/>
    </w:p>
    <w:p w14:paraId="143E93C3" w14:textId="77777777" w:rsidR="00E90B5D" w:rsidRDefault="00E90B5D" w:rsidP="00E90B5D">
      <w:pPr>
        <w:pStyle w:val="BodyText"/>
        <w:numPr>
          <w:ilvl w:val="1"/>
          <w:numId w:val="5"/>
        </w:numPr>
        <w:spacing w:before="11"/>
      </w:pPr>
      <w:r>
        <w:t>Disclosure letter executed, detailing the information provided by the seller as part of the due diligence exercise</w:t>
      </w:r>
    </w:p>
    <w:p w14:paraId="1CED261D" w14:textId="2027D23D" w:rsidR="00E90B5D" w:rsidRDefault="00E90B5D" w:rsidP="00E90B5D">
      <w:pPr>
        <w:pStyle w:val="BodyText"/>
        <w:numPr>
          <w:ilvl w:val="0"/>
          <w:numId w:val="5"/>
        </w:numPr>
        <w:spacing w:before="11"/>
      </w:pPr>
      <w:r>
        <w:t>Signing:</w:t>
      </w:r>
    </w:p>
    <w:p w14:paraId="50DBD60A" w14:textId="3F7FA9F2" w:rsidR="00E90B5D" w:rsidRDefault="00E90B5D" w:rsidP="00E90B5D">
      <w:pPr>
        <w:pStyle w:val="BodyText"/>
        <w:numPr>
          <w:ilvl w:val="1"/>
          <w:numId w:val="5"/>
        </w:numPr>
        <w:spacing w:before="11"/>
      </w:pPr>
      <w:r>
        <w:t xml:space="preserve">SPA signed by both parties once terms </w:t>
      </w:r>
      <w:proofErr w:type="gramStart"/>
      <w:r>
        <w:t>agreed;</w:t>
      </w:r>
      <w:proofErr w:type="gramEnd"/>
    </w:p>
    <w:p w14:paraId="1FA77EA2" w14:textId="6F87B49C" w:rsidR="00E90B5D" w:rsidRDefault="007F530F" w:rsidP="00E90B5D">
      <w:pPr>
        <w:pStyle w:val="BodyText"/>
        <w:numPr>
          <w:ilvl w:val="1"/>
          <w:numId w:val="5"/>
        </w:numPr>
        <w:spacing w:before="11"/>
      </w:pPr>
      <w:r>
        <w:t>Signing of the SPA does not constitute completion of the sale.</w:t>
      </w:r>
    </w:p>
    <w:p w14:paraId="4035A1AD" w14:textId="77777777" w:rsidR="007F530F" w:rsidRDefault="007F530F" w:rsidP="007F530F">
      <w:pPr>
        <w:pStyle w:val="BodyText"/>
        <w:spacing w:before="11"/>
        <w:ind w:left="1440"/>
      </w:pPr>
    </w:p>
    <w:p w14:paraId="700BEF28" w14:textId="64883945" w:rsidR="007F530F" w:rsidRDefault="007F530F" w:rsidP="007F530F">
      <w:pPr>
        <w:pStyle w:val="BodyText"/>
        <w:numPr>
          <w:ilvl w:val="0"/>
          <w:numId w:val="5"/>
        </w:numPr>
        <w:spacing w:before="11"/>
      </w:pPr>
      <w:r>
        <w:t>Completion:</w:t>
      </w:r>
    </w:p>
    <w:p w14:paraId="5909FA96" w14:textId="492C1B96" w:rsidR="007F530F" w:rsidRDefault="007F530F" w:rsidP="007F530F">
      <w:pPr>
        <w:pStyle w:val="BodyText"/>
        <w:numPr>
          <w:ilvl w:val="1"/>
          <w:numId w:val="5"/>
        </w:numPr>
        <w:spacing w:before="11"/>
      </w:pPr>
      <w:r>
        <w:t xml:space="preserve">Terms of sale take effect at </w:t>
      </w:r>
      <w:proofErr w:type="gramStart"/>
      <w:r>
        <w:t>completion;</w:t>
      </w:r>
      <w:proofErr w:type="gramEnd"/>
    </w:p>
    <w:p w14:paraId="3C2B33E4" w14:textId="70165E9C" w:rsidR="007F530F" w:rsidRDefault="007F530F" w:rsidP="007F530F">
      <w:pPr>
        <w:pStyle w:val="BodyText"/>
        <w:numPr>
          <w:ilvl w:val="1"/>
          <w:numId w:val="5"/>
        </w:numPr>
        <w:spacing w:before="11"/>
      </w:pPr>
      <w:r>
        <w:t xml:space="preserve">Signing and completion may occur simultaneously if there are no pre-conditions to </w:t>
      </w:r>
      <w:proofErr w:type="gramStart"/>
      <w:r>
        <w:t>completion;</w:t>
      </w:r>
      <w:proofErr w:type="gramEnd"/>
    </w:p>
    <w:p w14:paraId="0EF7A696" w14:textId="224026C2" w:rsidR="007F530F" w:rsidRDefault="007F530F" w:rsidP="007F530F">
      <w:pPr>
        <w:pStyle w:val="BodyText"/>
        <w:numPr>
          <w:ilvl w:val="1"/>
          <w:numId w:val="5"/>
        </w:numPr>
        <w:spacing w:before="11"/>
      </w:pPr>
      <w:r>
        <w:t>Generally, completion takes place later, to allow time for any pre-conditions to be met.</w:t>
      </w:r>
    </w:p>
    <w:p w14:paraId="5D61FBF0" w14:textId="1CAF1D9E" w:rsidR="00424994" w:rsidRDefault="00424994" w:rsidP="00E90B5D">
      <w:pPr>
        <w:pStyle w:val="BodyText"/>
        <w:spacing w:before="11"/>
        <w:ind w:left="720"/>
        <w:rPr>
          <w:sz w:val="21"/>
        </w:rPr>
      </w:pPr>
    </w:p>
    <w:p w14:paraId="130B1502" w14:textId="1CBC0E63" w:rsidR="00424994" w:rsidRDefault="00424994" w:rsidP="00424994">
      <w:pPr>
        <w:pStyle w:val="BodyText"/>
        <w:ind w:left="527"/>
        <w:sectPr w:rsidR="00424994">
          <w:headerReference w:type="default" r:id="rId9"/>
          <w:footerReference w:type="default" r:id="rId10"/>
          <w:type w:val="continuous"/>
          <w:pgSz w:w="11910" w:h="16840"/>
          <w:pgMar w:top="2200" w:right="1600" w:bottom="640" w:left="1340" w:header="167" w:footer="451" w:gutter="0"/>
          <w:cols w:space="720"/>
        </w:sectPr>
      </w:pPr>
      <w:r>
        <w:t>(Relevant section of the manual is Part 4 Chapter 1.</w:t>
      </w:r>
      <w:r w:rsidR="00E90B5D">
        <w:t>2.1 and 1.2.2</w:t>
      </w:r>
      <w:r>
        <w:t>)</w:t>
      </w:r>
    </w:p>
    <w:p w14:paraId="3A58C450" w14:textId="4C8AA311" w:rsidR="00C344E3" w:rsidRDefault="00C344E3" w:rsidP="00AB46AC">
      <w:pPr>
        <w:pStyle w:val="BodyText"/>
      </w:pPr>
    </w:p>
    <w:p w14:paraId="48F1D483" w14:textId="77777777" w:rsidR="00D72E29" w:rsidRPr="00E91786" w:rsidRDefault="00D72E29" w:rsidP="00D72E29">
      <w:pPr>
        <w:tabs>
          <w:tab w:val="left" w:pos="1540"/>
          <w:tab w:val="left" w:pos="1541"/>
        </w:tabs>
        <w:ind w:right="102"/>
        <w:rPr>
          <w:sz w:val="18"/>
        </w:rPr>
      </w:pPr>
    </w:p>
    <w:p w14:paraId="00728B6C" w14:textId="77777777" w:rsidR="00D72E29" w:rsidRDefault="00D72E29" w:rsidP="00D72E29">
      <w:pPr>
        <w:pStyle w:val="BodyText"/>
        <w:spacing w:before="9"/>
        <w:rPr>
          <w:sz w:val="21"/>
        </w:rPr>
      </w:pPr>
    </w:p>
    <w:p w14:paraId="455B5BF1" w14:textId="1F42E913" w:rsidR="00D72E29" w:rsidRDefault="00D72E29" w:rsidP="00D72E29">
      <w:pPr>
        <w:pStyle w:val="Heading1"/>
        <w:numPr>
          <w:ilvl w:val="0"/>
          <w:numId w:val="4"/>
        </w:numPr>
        <w:tabs>
          <w:tab w:val="left" w:pos="527"/>
          <w:tab w:val="left" w:pos="528"/>
        </w:tabs>
        <w:spacing w:before="63" w:line="276" w:lineRule="auto"/>
        <w:ind w:right="443"/>
      </w:pPr>
      <w:r>
        <w:t>Outline the changes made to the law relating to pensions and divorce by the Welfare Reform and Pensions Act 1999 and the Civil Partnership Act 2004.</w:t>
      </w:r>
    </w:p>
    <w:p w14:paraId="5CE2FEBF" w14:textId="77777777" w:rsidR="00D72E29" w:rsidRDefault="00D72E29" w:rsidP="00D72E29">
      <w:pPr>
        <w:spacing w:line="219" w:lineRule="exact"/>
        <w:ind w:left="8021"/>
        <w:rPr>
          <w:b/>
          <w:sz w:val="18"/>
        </w:rPr>
      </w:pPr>
      <w:r>
        <w:rPr>
          <w:b/>
          <w:sz w:val="18"/>
        </w:rPr>
        <w:t>5 marks</w:t>
      </w:r>
    </w:p>
    <w:p w14:paraId="0B53D4A9" w14:textId="77777777" w:rsidR="00D72E29" w:rsidRDefault="00D72E29" w:rsidP="00D72E29">
      <w:pPr>
        <w:pStyle w:val="BodyText"/>
        <w:spacing w:before="34"/>
        <w:ind w:left="527"/>
      </w:pPr>
      <w:r>
        <w:t>Answer should cover:</w:t>
      </w:r>
    </w:p>
    <w:p w14:paraId="2A1200C2" w14:textId="77777777" w:rsidR="00D72E29" w:rsidRDefault="00D72E29" w:rsidP="00D72E29">
      <w:pPr>
        <w:pStyle w:val="BodyText"/>
        <w:spacing w:before="7"/>
        <w:rPr>
          <w:sz w:val="20"/>
        </w:rPr>
      </w:pPr>
    </w:p>
    <w:p w14:paraId="0FB3D025" w14:textId="7D42D340" w:rsidR="00D72E29" w:rsidRDefault="00D72E29" w:rsidP="00D72E29">
      <w:pPr>
        <w:pStyle w:val="BodyText"/>
        <w:numPr>
          <w:ilvl w:val="0"/>
          <w:numId w:val="9"/>
        </w:numPr>
        <w:spacing w:before="3"/>
      </w:pPr>
      <w:r>
        <w:t>Welfare Reform and Pensions Act 1999:</w:t>
      </w:r>
    </w:p>
    <w:p w14:paraId="0044E1BA" w14:textId="20DF72B4" w:rsidR="00D72E29" w:rsidRDefault="009A1962" w:rsidP="00D72E29">
      <w:pPr>
        <w:pStyle w:val="BodyText"/>
        <w:numPr>
          <w:ilvl w:val="1"/>
          <w:numId w:val="9"/>
        </w:numPr>
        <w:spacing w:before="3"/>
      </w:pPr>
      <w:r>
        <w:t xml:space="preserve">Introduced the option of pension sharing for divorcing </w:t>
      </w:r>
      <w:proofErr w:type="gramStart"/>
      <w:r>
        <w:t>couples</w:t>
      </w:r>
      <w:r w:rsidR="00D72E29">
        <w:t>;</w:t>
      </w:r>
      <w:proofErr w:type="gramEnd"/>
    </w:p>
    <w:p w14:paraId="6D945E94" w14:textId="41E9D44A" w:rsidR="00D72E29" w:rsidRDefault="009A1962" w:rsidP="00D72E29">
      <w:pPr>
        <w:pStyle w:val="BodyText"/>
        <w:numPr>
          <w:ilvl w:val="1"/>
          <w:numId w:val="9"/>
        </w:numPr>
        <w:spacing w:before="3"/>
      </w:pPr>
      <w:r>
        <w:t xml:space="preserve">Effective for divorces occurring after 1 December </w:t>
      </w:r>
      <w:proofErr w:type="gramStart"/>
      <w:r>
        <w:t>2000</w:t>
      </w:r>
      <w:r w:rsidR="00D72E29">
        <w:t>;</w:t>
      </w:r>
      <w:proofErr w:type="gramEnd"/>
      <w:r w:rsidR="00D72E29">
        <w:t xml:space="preserve"> </w:t>
      </w:r>
    </w:p>
    <w:p w14:paraId="6FFD54F1" w14:textId="62BE5A17" w:rsidR="00D72E29" w:rsidRDefault="009A1962" w:rsidP="00D72E29">
      <w:pPr>
        <w:pStyle w:val="BodyText"/>
        <w:numPr>
          <w:ilvl w:val="1"/>
          <w:numId w:val="9"/>
        </w:numPr>
        <w:spacing w:before="3"/>
      </w:pPr>
      <w:r>
        <w:t>Pension rights had to be treated as any other asset and could be transferred from one spouse to another on settlement.</w:t>
      </w:r>
    </w:p>
    <w:p w14:paraId="64B08F78" w14:textId="6D43854F" w:rsidR="00D72E29" w:rsidRDefault="009A1962" w:rsidP="00D72E29">
      <w:pPr>
        <w:pStyle w:val="BodyText"/>
        <w:numPr>
          <w:ilvl w:val="0"/>
          <w:numId w:val="9"/>
        </w:numPr>
        <w:spacing w:before="3"/>
      </w:pPr>
      <w:r>
        <w:t>Civil Partnership Act 2004</w:t>
      </w:r>
      <w:r w:rsidR="00D72E29">
        <w:t>:</w:t>
      </w:r>
    </w:p>
    <w:p w14:paraId="647CDA6A" w14:textId="440C8278" w:rsidR="00D72E29" w:rsidRDefault="009A1962" w:rsidP="00D72E29">
      <w:pPr>
        <w:pStyle w:val="BodyText"/>
        <w:numPr>
          <w:ilvl w:val="1"/>
          <w:numId w:val="9"/>
        </w:numPr>
        <w:spacing w:before="3"/>
      </w:pPr>
      <w:r>
        <w:t xml:space="preserve">Effective from December </w:t>
      </w:r>
      <w:proofErr w:type="gramStart"/>
      <w:r>
        <w:t>2005</w:t>
      </w:r>
      <w:r w:rsidR="00D72E29">
        <w:t>;</w:t>
      </w:r>
      <w:proofErr w:type="gramEnd"/>
    </w:p>
    <w:p w14:paraId="24D3FCF6" w14:textId="4BB6EA8B" w:rsidR="00D72E29" w:rsidRDefault="009A1962" w:rsidP="00D72E29">
      <w:pPr>
        <w:pStyle w:val="BodyText"/>
        <w:numPr>
          <w:ilvl w:val="1"/>
          <w:numId w:val="9"/>
        </w:numPr>
        <w:spacing w:before="3"/>
      </w:pPr>
      <w:r>
        <w:t xml:space="preserve">Allows same sex couples to enter into a civil partnership with rights and responsibilities similar to the legal status of married </w:t>
      </w:r>
      <w:proofErr w:type="gramStart"/>
      <w:r>
        <w:t>couples</w:t>
      </w:r>
      <w:r w:rsidR="00D72E29">
        <w:t>;</w:t>
      </w:r>
      <w:proofErr w:type="gramEnd"/>
      <w:r w:rsidR="00D72E29">
        <w:t xml:space="preserve"> </w:t>
      </w:r>
    </w:p>
    <w:p w14:paraId="739C24C8" w14:textId="20F507A4" w:rsidR="00D72E29" w:rsidRDefault="009A1962" w:rsidP="00D72E29">
      <w:pPr>
        <w:pStyle w:val="BodyText"/>
        <w:numPr>
          <w:ilvl w:val="1"/>
          <w:numId w:val="9"/>
        </w:numPr>
        <w:spacing w:before="3"/>
      </w:pPr>
      <w:r>
        <w:t>Discretionary powers introduced for a court on dissolution of a civil partnership, including powers to make pension sharing and earmarking orders.</w:t>
      </w:r>
    </w:p>
    <w:p w14:paraId="430282E1" w14:textId="77777777" w:rsidR="00D72E29" w:rsidRDefault="00D72E29" w:rsidP="00D72E29">
      <w:pPr>
        <w:pStyle w:val="BodyText"/>
        <w:spacing w:before="3"/>
        <w:ind w:left="1080"/>
      </w:pPr>
    </w:p>
    <w:p w14:paraId="5263C150" w14:textId="10225983" w:rsidR="00D72E29" w:rsidRDefault="00D72E29" w:rsidP="00D72E29">
      <w:pPr>
        <w:pStyle w:val="BodyText"/>
        <w:ind w:left="527"/>
      </w:pPr>
      <w:r>
        <w:t>(Relevant section of the manual is Part 3 Chapter</w:t>
      </w:r>
      <w:r w:rsidR="009A1962">
        <w:t>s 2.2.4 and 2.2.5</w:t>
      </w:r>
      <w:r>
        <w:t>)</w:t>
      </w:r>
    </w:p>
    <w:p w14:paraId="7D9E9CC9" w14:textId="77777777" w:rsidR="00D72E29" w:rsidRDefault="00D72E29" w:rsidP="00AB46AC">
      <w:pPr>
        <w:pStyle w:val="BodyText"/>
      </w:pPr>
    </w:p>
    <w:sectPr w:rsidR="00D72E29">
      <w:type w:val="continuous"/>
      <w:pgSz w:w="11910" w:h="16840"/>
      <w:pgMar w:top="2200" w:right="1600" w:bottom="6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60DA" w14:textId="77777777" w:rsidR="008C4CFA" w:rsidRDefault="008C4CFA">
      <w:r>
        <w:separator/>
      </w:r>
    </w:p>
  </w:endnote>
  <w:endnote w:type="continuationSeparator" w:id="0">
    <w:p w14:paraId="1F2A0351" w14:textId="77777777" w:rsidR="008C4CFA" w:rsidRDefault="008C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950A" w14:textId="58D170FB" w:rsidR="00C344E3" w:rsidRDefault="00C344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77777777" w:rsidR="00424994" w:rsidRDefault="004249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A4C3" w14:textId="77777777" w:rsidR="008C4CFA" w:rsidRDefault="008C4CFA">
      <w:r>
        <w:separator/>
      </w:r>
    </w:p>
  </w:footnote>
  <w:footnote w:type="continuationSeparator" w:id="0">
    <w:p w14:paraId="315ED06D" w14:textId="77777777" w:rsidR="008C4CFA" w:rsidRDefault="008C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3902" w14:textId="48E4167E" w:rsidR="004E2B12" w:rsidRDefault="004E2B12" w:rsidP="004E2B12">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487491072" behindDoc="0" locked="0" layoutInCell="1" allowOverlap="1" wp14:anchorId="2C0EC7BC" wp14:editId="3718AE50">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05C4E709" w14:textId="77777777" w:rsidR="004E2B12" w:rsidRDefault="004E2B12" w:rsidP="004E2B12">
    <w:pPr>
      <w:jc w:val="right"/>
      <w:rPr>
        <w:b/>
        <w:bCs/>
      </w:rPr>
    </w:pPr>
    <w:r>
      <w:t xml:space="preserve">60 Goswell Road </w:t>
    </w:r>
  </w:p>
  <w:p w14:paraId="6DDFE78F" w14:textId="77777777" w:rsidR="004E2B12" w:rsidRDefault="004E2B12" w:rsidP="004E2B12">
    <w:pPr>
      <w:jc w:val="right"/>
      <w:rPr>
        <w:b/>
        <w:bCs/>
      </w:rPr>
    </w:pPr>
    <w:r>
      <w:t xml:space="preserve">London </w:t>
    </w:r>
  </w:p>
  <w:p w14:paraId="41C347FE" w14:textId="77777777" w:rsidR="004E2B12" w:rsidRDefault="004E2B12" w:rsidP="004E2B12">
    <w:pPr>
      <w:jc w:val="right"/>
      <w:rPr>
        <w:b/>
        <w:bCs/>
      </w:rPr>
    </w:pPr>
    <w:r>
      <w:t xml:space="preserve">EC1M 7AD </w:t>
    </w:r>
  </w:p>
  <w:p w14:paraId="7BADBC9A" w14:textId="77777777" w:rsidR="004E2B12" w:rsidRDefault="004E2B12" w:rsidP="004E2B12">
    <w:pPr>
      <w:jc w:val="right"/>
      <w:rPr>
        <w:b/>
        <w:bCs/>
      </w:rPr>
    </w:pPr>
    <w:r>
      <w:t xml:space="preserve">T: +44 (0) 20 7247 1452 </w:t>
    </w:r>
  </w:p>
  <w:p w14:paraId="53295E46" w14:textId="77777777" w:rsidR="004E2B12" w:rsidRDefault="004E2B12" w:rsidP="004E2B12">
    <w:pPr>
      <w:jc w:val="right"/>
      <w:rPr>
        <w:b/>
        <w:bCs/>
      </w:rPr>
    </w:pPr>
    <w:r>
      <w:t>W: www.pensions-pmi.org.uk</w:t>
    </w:r>
  </w:p>
  <w:p w14:paraId="1121A08A" w14:textId="72C312DA" w:rsidR="00C344E3" w:rsidRDefault="00C344E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77777777" w:rsidR="00424994" w:rsidRDefault="00424994">
    <w:pPr>
      <w:pStyle w:val="BodyText"/>
      <w:spacing w:line="14" w:lineRule="auto"/>
      <w:rPr>
        <w:sz w:val="20"/>
      </w:rPr>
    </w:pPr>
    <w:r>
      <w:rPr>
        <w:noProof/>
      </w:rPr>
      <w:drawing>
        <wp:anchor distT="0" distB="0" distL="114300" distR="114300" simplePos="0" relativeHeight="487489024" behindDoc="0" locked="0" layoutInCell="1" allowOverlap="1" wp14:anchorId="0E2B4D4B" wp14:editId="2E40E42E">
          <wp:simplePos x="0" y="0"/>
          <wp:positionH relativeFrom="margin">
            <wp:posOffset>0</wp:posOffset>
          </wp:positionH>
          <wp:positionV relativeFrom="paragraph">
            <wp:posOffset>6350</wp:posOffset>
          </wp:positionV>
          <wp:extent cx="2339975" cy="1282700"/>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1" w15:restartNumberingAfterBreak="0">
    <w:nsid w:val="25501D40"/>
    <w:multiLevelType w:val="hybridMultilevel"/>
    <w:tmpl w:val="7F6CE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F5DAD"/>
    <w:multiLevelType w:val="hybridMultilevel"/>
    <w:tmpl w:val="ED3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659AC"/>
    <w:multiLevelType w:val="hybridMultilevel"/>
    <w:tmpl w:val="DB2A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408A"/>
    <w:multiLevelType w:val="hybridMultilevel"/>
    <w:tmpl w:val="5028A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80355"/>
    <w:multiLevelType w:val="hybridMultilevel"/>
    <w:tmpl w:val="1652C4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6323F"/>
    <w:multiLevelType w:val="hybridMultilevel"/>
    <w:tmpl w:val="96A8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C1714"/>
    <w:multiLevelType w:val="hybridMultilevel"/>
    <w:tmpl w:val="36745D4C"/>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8" w15:restartNumberingAfterBreak="0">
    <w:nsid w:val="5D706B97"/>
    <w:multiLevelType w:val="hybridMultilevel"/>
    <w:tmpl w:val="B0F07004"/>
    <w:lvl w:ilvl="0" w:tplc="DAF0AB70">
      <w:start w:val="1"/>
      <w:numFmt w:val="lowerRoman"/>
      <w:lvlText w:val="(%1)"/>
      <w:lvlJc w:val="left"/>
      <w:pPr>
        <w:ind w:left="1900" w:hanging="360"/>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9" w15:restartNumberingAfterBreak="0">
    <w:nsid w:val="5F0A49BA"/>
    <w:multiLevelType w:val="hybridMultilevel"/>
    <w:tmpl w:val="3DCC1FE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10" w15:restartNumberingAfterBreak="0">
    <w:nsid w:val="708E3C1C"/>
    <w:multiLevelType w:val="hybridMultilevel"/>
    <w:tmpl w:val="E68C06E6"/>
    <w:lvl w:ilvl="0" w:tplc="ED381386">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11"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num w:numId="1">
    <w:abstractNumId w:val="0"/>
  </w:num>
  <w:num w:numId="2">
    <w:abstractNumId w:val="11"/>
  </w:num>
  <w:num w:numId="3">
    <w:abstractNumId w:val="8"/>
  </w:num>
  <w:num w:numId="4">
    <w:abstractNumId w:val="10"/>
  </w:num>
  <w:num w:numId="5">
    <w:abstractNumId w:val="1"/>
  </w:num>
  <w:num w:numId="6">
    <w:abstractNumId w:val="9"/>
  </w:num>
  <w:num w:numId="7">
    <w:abstractNumId w:val="7"/>
  </w:num>
  <w:num w:numId="8">
    <w:abstractNumId w:val="2"/>
  </w:num>
  <w:num w:numId="9">
    <w:abstractNumId w:val="6"/>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C48DE"/>
    <w:rsid w:val="000E6648"/>
    <w:rsid w:val="0028210C"/>
    <w:rsid w:val="002D6DB9"/>
    <w:rsid w:val="002E547D"/>
    <w:rsid w:val="003718CB"/>
    <w:rsid w:val="00407424"/>
    <w:rsid w:val="00424994"/>
    <w:rsid w:val="004E2B12"/>
    <w:rsid w:val="006C6E78"/>
    <w:rsid w:val="007D405B"/>
    <w:rsid w:val="007F530F"/>
    <w:rsid w:val="0086205F"/>
    <w:rsid w:val="008C4CFA"/>
    <w:rsid w:val="00995E47"/>
    <w:rsid w:val="009A1962"/>
    <w:rsid w:val="00AB46AC"/>
    <w:rsid w:val="00C344E3"/>
    <w:rsid w:val="00C367D1"/>
    <w:rsid w:val="00C739BD"/>
    <w:rsid w:val="00D16503"/>
    <w:rsid w:val="00D43626"/>
    <w:rsid w:val="00D72E29"/>
    <w:rsid w:val="00DF0CCF"/>
    <w:rsid w:val="00E90B5D"/>
    <w:rsid w:val="00E91786"/>
    <w:rsid w:val="00EC5327"/>
    <w:rsid w:val="00FB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4</cp:revision>
  <dcterms:created xsi:type="dcterms:W3CDTF">2021-10-28T17:35:00Z</dcterms:created>
  <dcterms:modified xsi:type="dcterms:W3CDTF">2021-11-16T15:19:00Z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ies>
</file>