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2540" w14:textId="77777777" w:rsidR="00C344E3" w:rsidRDefault="00C344E3">
      <w:pPr>
        <w:pStyle w:val="BodyText"/>
        <w:rPr>
          <w:rFonts w:ascii="Times New Roman"/>
          <w:sz w:val="20"/>
        </w:rPr>
      </w:pPr>
    </w:p>
    <w:p w14:paraId="18A3C565" w14:textId="77777777" w:rsidR="00C344E3" w:rsidRDefault="00C344E3">
      <w:pPr>
        <w:pStyle w:val="BodyText"/>
        <w:rPr>
          <w:rFonts w:ascii="Times New Roman"/>
          <w:sz w:val="20"/>
        </w:rPr>
      </w:pPr>
    </w:p>
    <w:p w14:paraId="5DD86F8F" w14:textId="77777777" w:rsidR="00C344E3" w:rsidRDefault="00C344E3">
      <w:pPr>
        <w:pStyle w:val="BodyText"/>
        <w:spacing w:before="9"/>
        <w:rPr>
          <w:rFonts w:ascii="Times New Roman"/>
          <w:sz w:val="21"/>
        </w:rPr>
      </w:pPr>
    </w:p>
    <w:p w14:paraId="533C9FCF" w14:textId="77777777" w:rsidR="00C344E3" w:rsidRDefault="00C739BD">
      <w:pPr>
        <w:pStyle w:val="Title"/>
      </w:pPr>
      <w:r>
        <w:t>Core Unit 2 – Regulation of Retirement Provision</w:t>
      </w:r>
    </w:p>
    <w:p w14:paraId="57CBA064" w14:textId="6FCC397C" w:rsidR="00C344E3" w:rsidRDefault="00C739BD">
      <w:pPr>
        <w:spacing w:before="66"/>
        <w:ind w:left="905" w:right="902"/>
        <w:jc w:val="center"/>
        <w:rPr>
          <w:sz w:val="28"/>
        </w:rPr>
      </w:pPr>
      <w:r>
        <w:rPr>
          <w:sz w:val="28"/>
        </w:rPr>
        <w:t xml:space="preserve">Assignment 3 </w:t>
      </w:r>
    </w:p>
    <w:p w14:paraId="39D4EE27" w14:textId="77777777" w:rsidR="00C344E3" w:rsidRDefault="00C739BD">
      <w:pPr>
        <w:spacing w:before="49"/>
        <w:ind w:left="905" w:right="903"/>
        <w:jc w:val="center"/>
        <w:rPr>
          <w:i/>
          <w:sz w:val="18"/>
        </w:rPr>
      </w:pPr>
      <w:r>
        <w:rPr>
          <w:i/>
          <w:sz w:val="18"/>
        </w:rPr>
        <w:t>(Part 3 – Other Relevant Areas of Law and Part 4 – Corporate Transactions)</w:t>
      </w:r>
    </w:p>
    <w:p w14:paraId="38C10F22" w14:textId="77777777" w:rsidR="00C344E3" w:rsidRDefault="00C344E3">
      <w:pPr>
        <w:pStyle w:val="BodyText"/>
        <w:spacing w:before="8"/>
        <w:rPr>
          <w:i/>
          <w:sz w:val="20"/>
        </w:rPr>
      </w:pPr>
    </w:p>
    <w:p w14:paraId="616E5155" w14:textId="77777777" w:rsidR="00C344E3" w:rsidRDefault="00C739BD">
      <w:pPr>
        <w:spacing w:before="1"/>
        <w:ind w:left="881" w:right="905"/>
        <w:jc w:val="center"/>
        <w:rPr>
          <w:i/>
          <w:sz w:val="16"/>
        </w:rPr>
      </w:pPr>
      <w:r>
        <w:rPr>
          <w:i/>
          <w:sz w:val="16"/>
        </w:rPr>
        <w:t>Recommended Time: 1 Hour</w:t>
      </w:r>
    </w:p>
    <w:p w14:paraId="60331CBE" w14:textId="77777777" w:rsidR="00C344E3" w:rsidRDefault="00C344E3">
      <w:pPr>
        <w:pStyle w:val="BodyText"/>
        <w:rPr>
          <w:i/>
          <w:sz w:val="16"/>
        </w:rPr>
      </w:pPr>
    </w:p>
    <w:p w14:paraId="23E29053" w14:textId="77777777" w:rsidR="00C344E3" w:rsidRDefault="00C344E3">
      <w:pPr>
        <w:pStyle w:val="BodyText"/>
        <w:rPr>
          <w:i/>
          <w:sz w:val="16"/>
        </w:rPr>
      </w:pPr>
    </w:p>
    <w:p w14:paraId="45C777D3" w14:textId="77777777" w:rsidR="00C344E3" w:rsidRDefault="00C344E3">
      <w:pPr>
        <w:pStyle w:val="BodyText"/>
        <w:spacing w:before="10"/>
        <w:rPr>
          <w:i/>
          <w:sz w:val="11"/>
        </w:rPr>
      </w:pPr>
    </w:p>
    <w:p w14:paraId="104CB1EC" w14:textId="615B551D" w:rsidR="00C344E3" w:rsidRDefault="000E6648">
      <w:pPr>
        <w:pStyle w:val="Heading1"/>
        <w:numPr>
          <w:ilvl w:val="0"/>
          <w:numId w:val="4"/>
        </w:numPr>
        <w:tabs>
          <w:tab w:val="left" w:pos="460"/>
          <w:tab w:val="left" w:pos="461"/>
        </w:tabs>
        <w:spacing w:line="276" w:lineRule="auto"/>
        <w:ind w:right="352"/>
      </w:pPr>
      <w:r>
        <w:t>Explain the two ways in which a bulk transfer of a scheme’s assets and liabilities can be transferred into another scheme during a scheme merger.</w:t>
      </w:r>
    </w:p>
    <w:p w14:paraId="17CCD11A" w14:textId="57E1C088" w:rsidR="00C344E3" w:rsidRDefault="002E547D" w:rsidP="00EC5327">
      <w:pPr>
        <w:spacing w:line="218" w:lineRule="exact"/>
        <w:ind w:right="353"/>
        <w:jc w:val="right"/>
        <w:rPr>
          <w:b/>
          <w:sz w:val="18"/>
        </w:rPr>
      </w:pPr>
      <w:r>
        <w:rPr>
          <w:b/>
          <w:sz w:val="18"/>
        </w:rPr>
        <w:t>10</w:t>
      </w:r>
      <w:r w:rsidR="00C739BD">
        <w:rPr>
          <w:b/>
          <w:sz w:val="18"/>
        </w:rPr>
        <w:t xml:space="preserve"> marks</w:t>
      </w:r>
    </w:p>
    <w:p w14:paraId="0AA4043E" w14:textId="5143620A" w:rsidR="00B5147D" w:rsidRDefault="00B5147D" w:rsidP="00EC5327">
      <w:pPr>
        <w:spacing w:line="218" w:lineRule="exact"/>
        <w:ind w:right="353"/>
        <w:jc w:val="right"/>
        <w:rPr>
          <w:b/>
          <w:sz w:val="18"/>
        </w:rPr>
      </w:pPr>
    </w:p>
    <w:p w14:paraId="2114F738" w14:textId="77777777" w:rsidR="00B5147D" w:rsidRPr="00EC5327" w:rsidRDefault="00B5147D" w:rsidP="00EC5327">
      <w:pPr>
        <w:spacing w:line="218" w:lineRule="exact"/>
        <w:ind w:right="353"/>
        <w:jc w:val="right"/>
        <w:rPr>
          <w:b/>
          <w:sz w:val="18"/>
        </w:rPr>
      </w:pPr>
    </w:p>
    <w:p w14:paraId="5E4815B2" w14:textId="73B0A16A" w:rsidR="00C344E3" w:rsidRDefault="002D6DB9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64" w:line="276" w:lineRule="auto"/>
        <w:ind w:left="527" w:right="342" w:hanging="428"/>
      </w:pPr>
      <w:r>
        <w:t>State why data controllers must submit an annual notification to the Information Commissioner’s Office (ICO) and the information that must be included in the notification</w:t>
      </w:r>
      <w:r w:rsidR="00C739BD">
        <w:t>.</w:t>
      </w:r>
    </w:p>
    <w:p w14:paraId="43F72945" w14:textId="3C5CF42A" w:rsidR="00C344E3" w:rsidRDefault="00C739BD" w:rsidP="00EC5327">
      <w:pPr>
        <w:spacing w:line="219" w:lineRule="exact"/>
        <w:ind w:right="353"/>
        <w:jc w:val="right"/>
        <w:rPr>
          <w:b/>
          <w:sz w:val="18"/>
        </w:rPr>
      </w:pPr>
      <w:r>
        <w:rPr>
          <w:b/>
          <w:sz w:val="18"/>
        </w:rPr>
        <w:t>5 marks</w:t>
      </w:r>
    </w:p>
    <w:p w14:paraId="550FBA69" w14:textId="576F2F1A" w:rsidR="00B5147D" w:rsidRDefault="00B5147D" w:rsidP="00EC5327">
      <w:pPr>
        <w:spacing w:line="219" w:lineRule="exact"/>
        <w:ind w:right="353"/>
        <w:jc w:val="right"/>
        <w:rPr>
          <w:b/>
          <w:sz w:val="18"/>
        </w:rPr>
      </w:pPr>
    </w:p>
    <w:p w14:paraId="5F6ED3EE" w14:textId="77777777" w:rsidR="00B5147D" w:rsidRPr="00EC5327" w:rsidRDefault="00B5147D" w:rsidP="00EC5327">
      <w:pPr>
        <w:spacing w:line="219" w:lineRule="exact"/>
        <w:ind w:right="353"/>
        <w:jc w:val="right"/>
        <w:rPr>
          <w:b/>
          <w:sz w:val="18"/>
        </w:rPr>
      </w:pPr>
    </w:p>
    <w:p w14:paraId="77D6CD66" w14:textId="5AF9858E" w:rsidR="00C344E3" w:rsidRDefault="00B5147D">
      <w:pPr>
        <w:pStyle w:val="Heading1"/>
        <w:numPr>
          <w:ilvl w:val="0"/>
          <w:numId w:val="4"/>
        </w:numPr>
        <w:tabs>
          <w:tab w:val="left" w:pos="460"/>
          <w:tab w:val="left" w:pos="461"/>
        </w:tabs>
        <w:spacing w:before="63"/>
        <w:ind w:hanging="361"/>
      </w:pPr>
      <w:r>
        <w:t>L</w:t>
      </w:r>
      <w:r w:rsidR="002D6DB9">
        <w:t>ist 5 common age-related pension scheme provisions which are specifically excluded from the application of age discrimination legislation</w:t>
      </w:r>
      <w:r w:rsidR="00C739BD">
        <w:t>.</w:t>
      </w:r>
      <w:r w:rsidR="00AB46AC">
        <w:tab/>
      </w:r>
    </w:p>
    <w:p w14:paraId="0692B85F" w14:textId="0DDCFC7F" w:rsidR="00C344E3" w:rsidRDefault="00B5147D" w:rsidP="00B5147D">
      <w:pPr>
        <w:pStyle w:val="BodyText"/>
        <w:spacing w:before="6"/>
        <w:ind w:left="7200" w:firstLine="720"/>
        <w:rPr>
          <w:rFonts w:asciiTheme="minorHAnsi" w:hAnsiTheme="minorHAnsi" w:cstheme="minorHAnsi"/>
          <w:b/>
        </w:rPr>
      </w:pPr>
      <w:r w:rsidRPr="00B5147D">
        <w:rPr>
          <w:rFonts w:asciiTheme="minorHAnsi" w:hAnsiTheme="minorHAnsi" w:cstheme="minorHAnsi"/>
          <w:b/>
        </w:rPr>
        <w:t>5 marks</w:t>
      </w:r>
    </w:p>
    <w:p w14:paraId="71CF49A2" w14:textId="77777777" w:rsidR="00B5147D" w:rsidRPr="00B5147D" w:rsidRDefault="00B5147D" w:rsidP="00B5147D">
      <w:pPr>
        <w:pStyle w:val="BodyText"/>
        <w:spacing w:before="6"/>
        <w:ind w:left="7200" w:firstLine="720"/>
        <w:rPr>
          <w:rFonts w:asciiTheme="minorHAnsi" w:hAnsiTheme="minorHAnsi" w:cstheme="minorHAnsi"/>
          <w:b/>
        </w:rPr>
      </w:pPr>
    </w:p>
    <w:p w14:paraId="5E7BD5F2" w14:textId="6141DEA2" w:rsidR="00C344E3" w:rsidRPr="00B5147D" w:rsidRDefault="00C344E3">
      <w:pPr>
        <w:pStyle w:val="BodyText"/>
        <w:spacing w:before="9"/>
        <w:rPr>
          <w:rFonts w:asciiTheme="minorHAnsi" w:hAnsiTheme="minorHAnsi" w:cstheme="minorHAnsi"/>
        </w:rPr>
      </w:pPr>
    </w:p>
    <w:p w14:paraId="2FF0A130" w14:textId="5B43B4A8" w:rsidR="00E91786" w:rsidRDefault="00E91786" w:rsidP="00E91786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63" w:line="276" w:lineRule="auto"/>
        <w:ind w:right="443"/>
      </w:pPr>
      <w:r>
        <w:t xml:space="preserve">Briefly outline the power the TPR has regarding the provision of </w:t>
      </w:r>
      <w:r w:rsidR="0086205F">
        <w:t xml:space="preserve">false or misleading </w:t>
      </w:r>
      <w:r>
        <w:t>information</w:t>
      </w:r>
      <w:r w:rsidR="0086205F">
        <w:t xml:space="preserve"> to TPR of pension trustees</w:t>
      </w:r>
      <w:r>
        <w:t>.</w:t>
      </w:r>
    </w:p>
    <w:p w14:paraId="3D646882" w14:textId="77777777" w:rsidR="00E91786" w:rsidRDefault="00E91786" w:rsidP="00E91786">
      <w:pPr>
        <w:spacing w:line="219" w:lineRule="exact"/>
        <w:ind w:left="8021"/>
        <w:rPr>
          <w:b/>
          <w:sz w:val="18"/>
        </w:rPr>
      </w:pPr>
      <w:r>
        <w:rPr>
          <w:b/>
          <w:sz w:val="18"/>
        </w:rPr>
        <w:t>5 marks</w:t>
      </w:r>
    </w:p>
    <w:p w14:paraId="4FCB8592" w14:textId="1F777EBB" w:rsidR="00C344E3" w:rsidRDefault="00C344E3">
      <w:pPr>
        <w:pStyle w:val="BodyText"/>
        <w:ind w:left="527"/>
      </w:pPr>
    </w:p>
    <w:p w14:paraId="6BDD1534" w14:textId="77777777" w:rsidR="00E91786" w:rsidRDefault="00E91786"/>
    <w:p w14:paraId="3EF1E8B4" w14:textId="460B051D" w:rsidR="00C344E3" w:rsidRDefault="002E547D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1"/>
        <w:ind w:left="527" w:hanging="428"/>
      </w:pPr>
      <w:r>
        <w:t>In a share sale, ownership of the Target company transfers from the buyer to the seller. State four common scenarios where pension issues may arise and briefly outline how these ci</w:t>
      </w:r>
      <w:r w:rsidR="00407424">
        <w:t>rc</w:t>
      </w:r>
      <w:r>
        <w:t>umstances are typically dealt with</w:t>
      </w:r>
      <w:r w:rsidR="00C739BD">
        <w:t>.</w:t>
      </w:r>
    </w:p>
    <w:p w14:paraId="4E44351E" w14:textId="77777777" w:rsidR="00D72E29" w:rsidRDefault="00D72E29" w:rsidP="00EC5327">
      <w:pPr>
        <w:spacing w:before="34"/>
        <w:ind w:left="8021"/>
        <w:rPr>
          <w:b/>
          <w:sz w:val="18"/>
        </w:rPr>
      </w:pPr>
    </w:p>
    <w:p w14:paraId="7D97FDCB" w14:textId="3848C037" w:rsidR="00C344E3" w:rsidRDefault="00C739BD" w:rsidP="00EC5327">
      <w:pPr>
        <w:spacing w:before="34"/>
        <w:ind w:left="8021"/>
        <w:rPr>
          <w:b/>
          <w:sz w:val="18"/>
        </w:rPr>
      </w:pPr>
      <w:r>
        <w:rPr>
          <w:b/>
          <w:sz w:val="18"/>
        </w:rPr>
        <w:t>10 marks</w:t>
      </w:r>
    </w:p>
    <w:p w14:paraId="5A02DB44" w14:textId="77777777" w:rsidR="00B5147D" w:rsidRPr="00EC5327" w:rsidRDefault="00B5147D" w:rsidP="00EC5327">
      <w:pPr>
        <w:spacing w:before="34"/>
        <w:ind w:left="8021"/>
        <w:rPr>
          <w:b/>
          <w:sz w:val="18"/>
        </w:rPr>
      </w:pPr>
    </w:p>
    <w:p w14:paraId="1CA8634A" w14:textId="77777777" w:rsidR="00D72E29" w:rsidRDefault="00D72E29"/>
    <w:p w14:paraId="62BAE924" w14:textId="77777777" w:rsidR="00C344E3" w:rsidRDefault="00C344E3">
      <w:pPr>
        <w:rPr>
          <w:sz w:val="15"/>
        </w:rPr>
        <w:sectPr w:rsidR="00C344E3">
          <w:headerReference w:type="default" r:id="rId7"/>
          <w:footerReference w:type="default" r:id="rId8"/>
          <w:pgSz w:w="11910" w:h="16840"/>
          <w:pgMar w:top="2200" w:right="1600" w:bottom="640" w:left="1340" w:header="167" w:footer="451" w:gutter="0"/>
          <w:cols w:space="720"/>
        </w:sectPr>
      </w:pPr>
    </w:p>
    <w:p w14:paraId="6C0224C9" w14:textId="719CE07B" w:rsidR="00424994" w:rsidRDefault="00424994" w:rsidP="00424994">
      <w:pPr>
        <w:pStyle w:val="Heading1"/>
        <w:numPr>
          <w:ilvl w:val="0"/>
          <w:numId w:val="4"/>
        </w:numPr>
        <w:tabs>
          <w:tab w:val="left" w:pos="460"/>
          <w:tab w:val="left" w:pos="461"/>
        </w:tabs>
        <w:spacing w:line="276" w:lineRule="auto"/>
        <w:ind w:right="352"/>
      </w:pPr>
      <w:r>
        <w:t>Describe the key stages of a transaction pertaining to share sales and business sales.</w:t>
      </w:r>
    </w:p>
    <w:p w14:paraId="294A2224" w14:textId="77777777" w:rsidR="00424994" w:rsidRPr="00EC5327" w:rsidRDefault="00424994" w:rsidP="00424994">
      <w:pPr>
        <w:spacing w:line="218" w:lineRule="exact"/>
        <w:ind w:right="353"/>
        <w:jc w:val="right"/>
        <w:rPr>
          <w:b/>
          <w:sz w:val="18"/>
        </w:rPr>
      </w:pPr>
      <w:r>
        <w:rPr>
          <w:b/>
          <w:sz w:val="18"/>
        </w:rPr>
        <w:t>10 marks</w:t>
      </w:r>
    </w:p>
    <w:p w14:paraId="130B1502" w14:textId="7DEEE323" w:rsidR="00424994" w:rsidRDefault="00424994" w:rsidP="00424994">
      <w:pPr>
        <w:pStyle w:val="BodyText"/>
        <w:ind w:left="527"/>
        <w:sectPr w:rsidR="00424994">
          <w:headerReference w:type="default" r:id="rId9"/>
          <w:footerReference w:type="default" r:id="rId10"/>
          <w:type w:val="continuous"/>
          <w:pgSz w:w="11910" w:h="16840"/>
          <w:pgMar w:top="2200" w:right="1600" w:bottom="640" w:left="1340" w:header="167" w:footer="451" w:gutter="0"/>
          <w:cols w:space="720"/>
        </w:sectPr>
      </w:pPr>
    </w:p>
    <w:p w14:paraId="3A58C450" w14:textId="4C8AA311" w:rsidR="00C344E3" w:rsidRDefault="00C344E3" w:rsidP="00AB46AC">
      <w:pPr>
        <w:pStyle w:val="BodyText"/>
      </w:pPr>
    </w:p>
    <w:p w14:paraId="48F1D483" w14:textId="77777777" w:rsidR="00D72E29" w:rsidRPr="00E91786" w:rsidRDefault="00D72E29" w:rsidP="00D72E29">
      <w:pPr>
        <w:tabs>
          <w:tab w:val="left" w:pos="1540"/>
          <w:tab w:val="left" w:pos="1541"/>
        </w:tabs>
        <w:ind w:right="102"/>
        <w:rPr>
          <w:sz w:val="18"/>
        </w:rPr>
      </w:pPr>
    </w:p>
    <w:p w14:paraId="00728B6C" w14:textId="77777777" w:rsidR="00D72E29" w:rsidRDefault="00D72E29" w:rsidP="00D72E29">
      <w:pPr>
        <w:pStyle w:val="BodyText"/>
        <w:spacing w:before="9"/>
        <w:rPr>
          <w:sz w:val="21"/>
        </w:rPr>
      </w:pPr>
    </w:p>
    <w:p w14:paraId="455B5BF1" w14:textId="1F42E913" w:rsidR="00D72E29" w:rsidRDefault="00D72E29" w:rsidP="00D72E29">
      <w:pPr>
        <w:pStyle w:val="Heading1"/>
        <w:numPr>
          <w:ilvl w:val="0"/>
          <w:numId w:val="4"/>
        </w:numPr>
        <w:tabs>
          <w:tab w:val="left" w:pos="527"/>
          <w:tab w:val="left" w:pos="528"/>
        </w:tabs>
        <w:spacing w:before="63" w:line="276" w:lineRule="auto"/>
        <w:ind w:right="443"/>
      </w:pPr>
      <w:r>
        <w:t>Outline the changes made to the law relating to pensions and divorce by the Welfare Reform and Pensions Act 1999 and the Civil Partnership Act 2004.</w:t>
      </w:r>
    </w:p>
    <w:p w14:paraId="5CE2FEBF" w14:textId="77777777" w:rsidR="00D72E29" w:rsidRDefault="00D72E29" w:rsidP="00D72E29">
      <w:pPr>
        <w:spacing w:line="219" w:lineRule="exact"/>
        <w:ind w:left="8021"/>
        <w:rPr>
          <w:b/>
          <w:sz w:val="18"/>
        </w:rPr>
      </w:pPr>
      <w:r>
        <w:rPr>
          <w:b/>
          <w:sz w:val="18"/>
        </w:rPr>
        <w:t>5 marks</w:t>
      </w:r>
    </w:p>
    <w:p w14:paraId="7D9E9CC9" w14:textId="77777777" w:rsidR="00D72E29" w:rsidRDefault="00D72E29" w:rsidP="00AB46AC">
      <w:pPr>
        <w:pStyle w:val="BodyText"/>
      </w:pPr>
    </w:p>
    <w:sectPr w:rsidR="00D72E29">
      <w:type w:val="continuous"/>
      <w:pgSz w:w="11910" w:h="16840"/>
      <w:pgMar w:top="2200" w:right="1600" w:bottom="64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4BEE7" w14:textId="77777777" w:rsidR="00874E71" w:rsidRDefault="00874E71">
      <w:r>
        <w:separator/>
      </w:r>
    </w:p>
  </w:endnote>
  <w:endnote w:type="continuationSeparator" w:id="0">
    <w:p w14:paraId="733C4BFF" w14:textId="77777777" w:rsidR="00874E71" w:rsidRDefault="0087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950A" w14:textId="58D170FB" w:rsidR="00C344E3" w:rsidRDefault="00C344E3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6C83" w14:textId="77777777" w:rsidR="00424994" w:rsidRDefault="0042499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97AB9" w14:textId="77777777" w:rsidR="00874E71" w:rsidRDefault="00874E71">
      <w:r>
        <w:separator/>
      </w:r>
    </w:p>
  </w:footnote>
  <w:footnote w:type="continuationSeparator" w:id="0">
    <w:p w14:paraId="5584316E" w14:textId="77777777" w:rsidR="00874E71" w:rsidRDefault="00874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E5517" w14:textId="65C71C3D" w:rsidR="007432AD" w:rsidRDefault="007432AD" w:rsidP="007432AD">
    <w:pPr>
      <w:jc w:val="right"/>
      <w:rPr>
        <w:rFonts w:asciiTheme="minorHAnsi" w:eastAsiaTheme="minorHAnsi" w:hAnsiTheme="minorHAnsi" w:cstheme="minorBidi"/>
        <w:b/>
        <w:bCs/>
      </w:rPr>
    </w:pP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487491072" behindDoc="0" locked="0" layoutInCell="1" allowOverlap="1" wp14:anchorId="623F9D31" wp14:editId="08F979ED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4650" cy="1040130"/>
          <wp:effectExtent l="0" t="0" r="0" b="7620"/>
          <wp:wrapSquare wrapText="bothSides"/>
          <wp:docPr id="2" name="Picture 2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Devonshire House</w:t>
    </w:r>
  </w:p>
  <w:p w14:paraId="32932999" w14:textId="77777777" w:rsidR="007432AD" w:rsidRDefault="007432AD" w:rsidP="007432AD">
    <w:pPr>
      <w:jc w:val="right"/>
      <w:rPr>
        <w:b/>
        <w:bCs/>
      </w:rPr>
    </w:pPr>
    <w:r>
      <w:t xml:space="preserve">60 Goswell Road </w:t>
    </w:r>
  </w:p>
  <w:p w14:paraId="52AFAF0B" w14:textId="77777777" w:rsidR="007432AD" w:rsidRDefault="007432AD" w:rsidP="007432AD">
    <w:pPr>
      <w:jc w:val="right"/>
      <w:rPr>
        <w:b/>
        <w:bCs/>
      </w:rPr>
    </w:pPr>
    <w:r>
      <w:t xml:space="preserve">London </w:t>
    </w:r>
  </w:p>
  <w:p w14:paraId="38DB1861" w14:textId="77777777" w:rsidR="007432AD" w:rsidRDefault="007432AD" w:rsidP="007432AD">
    <w:pPr>
      <w:jc w:val="right"/>
      <w:rPr>
        <w:b/>
        <w:bCs/>
      </w:rPr>
    </w:pPr>
    <w:r>
      <w:t xml:space="preserve">EC1M 7AD </w:t>
    </w:r>
  </w:p>
  <w:p w14:paraId="484323D8" w14:textId="77777777" w:rsidR="007432AD" w:rsidRDefault="007432AD" w:rsidP="007432AD">
    <w:pPr>
      <w:jc w:val="right"/>
      <w:rPr>
        <w:b/>
        <w:bCs/>
      </w:rPr>
    </w:pPr>
    <w:r>
      <w:t xml:space="preserve">T: +44 (0) 20 7247 1452 </w:t>
    </w:r>
  </w:p>
  <w:p w14:paraId="52C2F0CE" w14:textId="77777777" w:rsidR="007432AD" w:rsidRDefault="007432AD" w:rsidP="007432AD">
    <w:pPr>
      <w:jc w:val="right"/>
      <w:rPr>
        <w:b/>
        <w:bCs/>
      </w:rPr>
    </w:pPr>
    <w:r>
      <w:t>W: www.pensions-pmi.org.uk</w:t>
    </w:r>
  </w:p>
  <w:p w14:paraId="1121A08A" w14:textId="38DE1A24" w:rsidR="00C344E3" w:rsidRDefault="00C344E3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BA01" w14:textId="77777777" w:rsidR="00424994" w:rsidRDefault="0042499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489024" behindDoc="0" locked="0" layoutInCell="1" allowOverlap="1" wp14:anchorId="0E2B4D4B" wp14:editId="2E40E42E">
          <wp:simplePos x="0" y="0"/>
          <wp:positionH relativeFrom="margin">
            <wp:posOffset>0</wp:posOffset>
          </wp:positionH>
          <wp:positionV relativeFrom="paragraph">
            <wp:posOffset>6350</wp:posOffset>
          </wp:positionV>
          <wp:extent cx="2339975" cy="1282700"/>
          <wp:effectExtent l="0" t="0" r="3175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3B55"/>
    <w:multiLevelType w:val="hybridMultilevel"/>
    <w:tmpl w:val="FDE00298"/>
    <w:lvl w:ilvl="0" w:tplc="EC9CBA8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A462E004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2" w:tplc="B77216C8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3" w:tplc="340CFF3C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4" w:tplc="2982EC80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76F05394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6" w:tplc="BBCE6D98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CE0AEB86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 w:tplc="1F7E8404">
      <w:numFmt w:val="bullet"/>
      <w:lvlText w:val="•"/>
      <w:lvlJc w:val="left"/>
      <w:pPr>
        <w:ind w:left="748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5501D40"/>
    <w:multiLevelType w:val="hybridMultilevel"/>
    <w:tmpl w:val="7F6CE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5DAD"/>
    <w:multiLevelType w:val="hybridMultilevel"/>
    <w:tmpl w:val="ED30E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659AC"/>
    <w:multiLevelType w:val="hybridMultilevel"/>
    <w:tmpl w:val="DB2A9A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1408A"/>
    <w:multiLevelType w:val="hybridMultilevel"/>
    <w:tmpl w:val="5028A62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80355"/>
    <w:multiLevelType w:val="hybridMultilevel"/>
    <w:tmpl w:val="1652C4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6323F"/>
    <w:multiLevelType w:val="hybridMultilevel"/>
    <w:tmpl w:val="96A85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C1714"/>
    <w:multiLevelType w:val="hybridMultilevel"/>
    <w:tmpl w:val="36745D4C"/>
    <w:lvl w:ilvl="0" w:tplc="08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8" w15:restartNumberingAfterBreak="0">
    <w:nsid w:val="5D706B97"/>
    <w:multiLevelType w:val="hybridMultilevel"/>
    <w:tmpl w:val="B0F07004"/>
    <w:lvl w:ilvl="0" w:tplc="DAF0AB70">
      <w:start w:val="1"/>
      <w:numFmt w:val="lowerRoman"/>
      <w:lvlText w:val="(%1)"/>
      <w:lvlJc w:val="left"/>
      <w:pPr>
        <w:ind w:left="1900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en-US" w:eastAsia="en-US" w:bidi="ar-SA"/>
      </w:rPr>
    </w:lvl>
    <w:lvl w:ilvl="1" w:tplc="95463FD8">
      <w:numFmt w:val="bullet"/>
      <w:lvlText w:val="•"/>
      <w:lvlJc w:val="left"/>
      <w:pPr>
        <w:ind w:left="2606" w:hanging="360"/>
      </w:pPr>
      <w:rPr>
        <w:rFonts w:hint="default"/>
        <w:lang w:val="en-US" w:eastAsia="en-US" w:bidi="ar-SA"/>
      </w:rPr>
    </w:lvl>
    <w:lvl w:ilvl="2" w:tplc="CA246568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3" w:tplc="DAC0AA56">
      <w:numFmt w:val="bullet"/>
      <w:lvlText w:val="•"/>
      <w:lvlJc w:val="left"/>
      <w:pPr>
        <w:ind w:left="4019" w:hanging="360"/>
      </w:pPr>
      <w:rPr>
        <w:rFonts w:hint="default"/>
        <w:lang w:val="en-US" w:eastAsia="en-US" w:bidi="ar-SA"/>
      </w:rPr>
    </w:lvl>
    <w:lvl w:ilvl="4" w:tplc="1340EBA4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5" w:tplc="A6FEE332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ar-SA"/>
      </w:rPr>
    </w:lvl>
    <w:lvl w:ilvl="6" w:tplc="87262AD8">
      <w:numFmt w:val="bullet"/>
      <w:lvlText w:val="•"/>
      <w:lvlJc w:val="left"/>
      <w:pPr>
        <w:ind w:left="6139" w:hanging="360"/>
      </w:pPr>
      <w:rPr>
        <w:rFonts w:hint="default"/>
        <w:lang w:val="en-US" w:eastAsia="en-US" w:bidi="ar-SA"/>
      </w:rPr>
    </w:lvl>
    <w:lvl w:ilvl="7" w:tplc="ED78BB8E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ar-SA"/>
      </w:rPr>
    </w:lvl>
    <w:lvl w:ilvl="8" w:tplc="D0EEB40C">
      <w:numFmt w:val="bullet"/>
      <w:lvlText w:val="•"/>
      <w:lvlJc w:val="left"/>
      <w:pPr>
        <w:ind w:left="755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F0A49BA"/>
    <w:multiLevelType w:val="hybridMultilevel"/>
    <w:tmpl w:val="3DCC1FE4"/>
    <w:lvl w:ilvl="0" w:tplc="080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0" w15:restartNumberingAfterBreak="0">
    <w:nsid w:val="708E3C1C"/>
    <w:multiLevelType w:val="hybridMultilevel"/>
    <w:tmpl w:val="E68C06E6"/>
    <w:lvl w:ilvl="0" w:tplc="ED381386">
      <w:start w:val="1"/>
      <w:numFmt w:val="decimal"/>
      <w:lvlText w:val="%1."/>
      <w:lvlJc w:val="left"/>
      <w:pPr>
        <w:ind w:left="460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en-US" w:eastAsia="en-US" w:bidi="ar-SA"/>
      </w:rPr>
    </w:lvl>
    <w:lvl w:ilvl="1" w:tplc="4BA8F7B0">
      <w:numFmt w:val="bullet"/>
      <w:lvlText w:val=""/>
      <w:lvlJc w:val="left"/>
      <w:pPr>
        <w:ind w:left="1518" w:hanging="341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2" w:tplc="D2D01A6C">
      <w:numFmt w:val="bullet"/>
      <w:lvlText w:val="•"/>
      <w:lvlJc w:val="left"/>
      <w:pPr>
        <w:ind w:left="1540" w:hanging="341"/>
      </w:pPr>
      <w:rPr>
        <w:rFonts w:hint="default"/>
        <w:lang w:val="en-US" w:eastAsia="en-US" w:bidi="ar-SA"/>
      </w:rPr>
    </w:lvl>
    <w:lvl w:ilvl="3" w:tplc="19924DAE">
      <w:numFmt w:val="bullet"/>
      <w:lvlText w:val="•"/>
      <w:lvlJc w:val="left"/>
      <w:pPr>
        <w:ind w:left="1900" w:hanging="341"/>
      </w:pPr>
      <w:rPr>
        <w:rFonts w:hint="default"/>
        <w:lang w:val="en-US" w:eastAsia="en-US" w:bidi="ar-SA"/>
      </w:rPr>
    </w:lvl>
    <w:lvl w:ilvl="4" w:tplc="A1D28C8A">
      <w:numFmt w:val="bullet"/>
      <w:lvlText w:val="•"/>
      <w:lvlJc w:val="left"/>
      <w:pPr>
        <w:ind w:left="8160" w:hanging="341"/>
      </w:pPr>
      <w:rPr>
        <w:rFonts w:hint="default"/>
        <w:lang w:val="en-US" w:eastAsia="en-US" w:bidi="ar-SA"/>
      </w:rPr>
    </w:lvl>
    <w:lvl w:ilvl="5" w:tplc="20DE62A6">
      <w:numFmt w:val="bullet"/>
      <w:lvlText w:val="•"/>
      <w:lvlJc w:val="left"/>
      <w:pPr>
        <w:ind w:left="8294" w:hanging="341"/>
      </w:pPr>
      <w:rPr>
        <w:rFonts w:hint="default"/>
        <w:lang w:val="en-US" w:eastAsia="en-US" w:bidi="ar-SA"/>
      </w:rPr>
    </w:lvl>
    <w:lvl w:ilvl="6" w:tplc="FFC01164">
      <w:numFmt w:val="bullet"/>
      <w:lvlText w:val="•"/>
      <w:lvlJc w:val="left"/>
      <w:pPr>
        <w:ind w:left="8428" w:hanging="341"/>
      </w:pPr>
      <w:rPr>
        <w:rFonts w:hint="default"/>
        <w:lang w:val="en-US" w:eastAsia="en-US" w:bidi="ar-SA"/>
      </w:rPr>
    </w:lvl>
    <w:lvl w:ilvl="7" w:tplc="822AF5FE">
      <w:numFmt w:val="bullet"/>
      <w:lvlText w:val="•"/>
      <w:lvlJc w:val="left"/>
      <w:pPr>
        <w:ind w:left="8563" w:hanging="341"/>
      </w:pPr>
      <w:rPr>
        <w:rFonts w:hint="default"/>
        <w:lang w:val="en-US" w:eastAsia="en-US" w:bidi="ar-SA"/>
      </w:rPr>
    </w:lvl>
    <w:lvl w:ilvl="8" w:tplc="CF0EC2B0">
      <w:numFmt w:val="bullet"/>
      <w:lvlText w:val="•"/>
      <w:lvlJc w:val="left"/>
      <w:pPr>
        <w:ind w:left="8697" w:hanging="341"/>
      </w:pPr>
      <w:rPr>
        <w:rFonts w:hint="default"/>
        <w:lang w:val="en-US" w:eastAsia="en-US" w:bidi="ar-SA"/>
      </w:rPr>
    </w:lvl>
  </w:abstractNum>
  <w:abstractNum w:abstractNumId="11" w15:restartNumberingAfterBreak="0">
    <w:nsid w:val="7E3761D9"/>
    <w:multiLevelType w:val="hybridMultilevel"/>
    <w:tmpl w:val="2BBEA64A"/>
    <w:lvl w:ilvl="0" w:tplc="DAF22DCE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91F4BE00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2" w:tplc="90CA04D0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3" w:tplc="EB72024C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4" w:tplc="5890E3D0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6052C78A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6" w:tplc="7528EFEE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3B382AC0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 w:tplc="68806504">
      <w:numFmt w:val="bullet"/>
      <w:lvlText w:val="•"/>
      <w:lvlJc w:val="left"/>
      <w:pPr>
        <w:ind w:left="7481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E3"/>
    <w:rsid w:val="000C48DE"/>
    <w:rsid w:val="000E6648"/>
    <w:rsid w:val="0028210C"/>
    <w:rsid w:val="002D6DB9"/>
    <w:rsid w:val="002E547D"/>
    <w:rsid w:val="003718CB"/>
    <w:rsid w:val="00407424"/>
    <w:rsid w:val="00424994"/>
    <w:rsid w:val="00611DD1"/>
    <w:rsid w:val="006C6E78"/>
    <w:rsid w:val="007432AD"/>
    <w:rsid w:val="007D405B"/>
    <w:rsid w:val="007F530F"/>
    <w:rsid w:val="0086205F"/>
    <w:rsid w:val="00874E71"/>
    <w:rsid w:val="00975B48"/>
    <w:rsid w:val="00995E47"/>
    <w:rsid w:val="009A1962"/>
    <w:rsid w:val="00AB46AC"/>
    <w:rsid w:val="00B5147D"/>
    <w:rsid w:val="00C344E3"/>
    <w:rsid w:val="00C367D1"/>
    <w:rsid w:val="00C739BD"/>
    <w:rsid w:val="00CD5CCF"/>
    <w:rsid w:val="00D16503"/>
    <w:rsid w:val="00D43626"/>
    <w:rsid w:val="00D72E29"/>
    <w:rsid w:val="00DF0CCF"/>
    <w:rsid w:val="00E90B5D"/>
    <w:rsid w:val="00E91786"/>
    <w:rsid w:val="00EC5327"/>
    <w:rsid w:val="00FB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639D6"/>
  <w15:docId w15:val="{2231E2BD-032B-4645-B35B-C08C1C4A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527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8"/>
      <w:ind w:left="905" w:right="905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40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05B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7D40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05B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Mohamed Alim Uddin</cp:lastModifiedBy>
  <cp:revision>5</cp:revision>
  <dcterms:created xsi:type="dcterms:W3CDTF">2021-10-28T19:30:00Z</dcterms:created>
  <dcterms:modified xsi:type="dcterms:W3CDTF">2021-11-16T15:19:00Z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2021-01-22T00:00:00Z</vt:filetime>
  </property>
</Properties>
</file>