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1DE989FD" w:rsidR="00C344E3" w:rsidRDefault="00401AEA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>Mock Examination</w:t>
      </w:r>
      <w:r w:rsidR="00C739BD">
        <w:rPr>
          <w:sz w:val="28"/>
        </w:rPr>
        <w:t xml:space="preserve"> </w:t>
      </w:r>
    </w:p>
    <w:p w14:paraId="6AA6AA4A" w14:textId="77777777" w:rsidR="0099208A" w:rsidRDefault="0099208A">
      <w:pPr>
        <w:spacing w:before="66"/>
        <w:ind w:left="905" w:right="902"/>
        <w:jc w:val="center"/>
        <w:rPr>
          <w:sz w:val="28"/>
        </w:rPr>
      </w:pP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7777777" w:rsidR="00C344E3" w:rsidRDefault="00C344E3">
      <w:pPr>
        <w:pStyle w:val="BodyText"/>
        <w:rPr>
          <w:i/>
          <w:sz w:val="16"/>
        </w:rPr>
      </w:pPr>
    </w:p>
    <w:p w14:paraId="45C777D3" w14:textId="16DFCD8D" w:rsidR="00C344E3" w:rsidRDefault="00C344E3">
      <w:pPr>
        <w:pStyle w:val="BodyText"/>
        <w:spacing w:before="10"/>
        <w:rPr>
          <w:i/>
          <w:sz w:val="11"/>
        </w:rPr>
      </w:pPr>
    </w:p>
    <w:p w14:paraId="22DD4695" w14:textId="77777777" w:rsidR="0099208A" w:rsidRDefault="0099208A">
      <w:pPr>
        <w:pStyle w:val="BodyText"/>
        <w:spacing w:before="10"/>
        <w:rPr>
          <w:i/>
          <w:sz w:val="11"/>
        </w:rPr>
      </w:pPr>
    </w:p>
    <w:p w14:paraId="104CB1EC" w14:textId="43206CCA" w:rsidR="00C344E3" w:rsidRDefault="001379D5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The powers of </w:t>
      </w:r>
      <w:r w:rsidR="00611605">
        <w:t xml:space="preserve">the </w:t>
      </w:r>
      <w:r>
        <w:t>P</w:t>
      </w:r>
      <w:r w:rsidR="00611605">
        <w:t xml:space="preserve">ensions </w:t>
      </w:r>
      <w:r>
        <w:t>R</w:t>
      </w:r>
      <w:r w:rsidR="00611605">
        <w:t>egulator</w:t>
      </w:r>
      <w:r>
        <w:t xml:space="preserve"> are defined in statute. Outline the additions to and adjustmen</w:t>
      </w:r>
      <w:r w:rsidR="00611605">
        <w:t>t</w:t>
      </w:r>
      <w:r>
        <w:t xml:space="preserve">s of the TPR’s current powers </w:t>
      </w:r>
      <w:r w:rsidR="00611605">
        <w:t xml:space="preserve">following </w:t>
      </w:r>
      <w:r w:rsidR="000950AD">
        <w:t xml:space="preserve">the </w:t>
      </w:r>
      <w:r>
        <w:t>Pension Schemes Act</w:t>
      </w:r>
      <w:r w:rsidR="00611605">
        <w:t xml:space="preserve"> 2021, and provide examples of the regulatory action that can be taken TPR can take to protect the security of members’ </w:t>
      </w:r>
      <w:r w:rsidR="000B0917">
        <w:t>benefits.</w:t>
      </w:r>
    </w:p>
    <w:p w14:paraId="17CCD11A" w14:textId="135904D0" w:rsidR="00C344E3" w:rsidRPr="00EC5327" w:rsidRDefault="002E547D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</w:p>
    <w:p w14:paraId="38B92CA7" w14:textId="77777777" w:rsidR="002D6DB9" w:rsidRDefault="002D6DB9" w:rsidP="002D6DB9">
      <w:pPr>
        <w:pStyle w:val="BodyText"/>
        <w:ind w:left="527"/>
        <w:rPr>
          <w:sz w:val="19"/>
        </w:rPr>
      </w:pPr>
    </w:p>
    <w:p w14:paraId="5E4815B2" w14:textId="786E3E97" w:rsidR="00C344E3" w:rsidRDefault="000950AD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>Outline the relevance of the Human Rights Act 1998 to occupational pension schemes.</w:t>
      </w:r>
    </w:p>
    <w:p w14:paraId="43F72945" w14:textId="490CAE10" w:rsidR="00C344E3" w:rsidRPr="00EC5327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09B2A4EB" w14:textId="56088BC0" w:rsidR="00C344E3" w:rsidRDefault="00C344E3">
      <w:pPr>
        <w:pStyle w:val="BodyText"/>
        <w:rPr>
          <w:sz w:val="20"/>
        </w:rPr>
      </w:pPr>
    </w:p>
    <w:p w14:paraId="20E62795" w14:textId="38894902" w:rsidR="0081034F" w:rsidRDefault="0081034F">
      <w:pPr>
        <w:pStyle w:val="BodyText"/>
        <w:rPr>
          <w:sz w:val="20"/>
        </w:rPr>
      </w:pPr>
    </w:p>
    <w:p w14:paraId="05C2AF51" w14:textId="77777777" w:rsidR="0081034F" w:rsidRDefault="0081034F">
      <w:pPr>
        <w:pStyle w:val="BodyText"/>
        <w:rPr>
          <w:sz w:val="20"/>
        </w:rPr>
      </w:pPr>
    </w:p>
    <w:p w14:paraId="0692B85F" w14:textId="17165383" w:rsidR="00C344E3" w:rsidRPr="0099208A" w:rsidRDefault="000950AD" w:rsidP="0099208A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"/>
        <w:ind w:hanging="361"/>
        <w:rPr>
          <w:sz w:val="23"/>
        </w:rPr>
      </w:pPr>
      <w:r>
        <w:t>Briefly describe the two main categories of trusts and the criteria that must be present in order for a trust to be valid</w:t>
      </w:r>
      <w:r w:rsidR="00C739BD">
        <w:t>.</w:t>
      </w:r>
      <w:r w:rsidR="00AB46AC">
        <w:tab/>
      </w:r>
    </w:p>
    <w:p w14:paraId="35036DB1" w14:textId="19ADEEB0" w:rsidR="00AB46AC" w:rsidRDefault="00AB46AC" w:rsidP="00AB46AC">
      <w:pPr>
        <w:pStyle w:val="BodyText"/>
        <w:ind w:left="7768" w:firstLine="152"/>
        <w:rPr>
          <w:b/>
          <w:bCs/>
        </w:rPr>
      </w:pPr>
      <w:r>
        <w:rPr>
          <w:b/>
          <w:bCs/>
        </w:rPr>
        <w:t>5 marks</w:t>
      </w:r>
    </w:p>
    <w:p w14:paraId="5E7BD5F2" w14:textId="4E8E85CE" w:rsidR="00C344E3" w:rsidRDefault="00C344E3">
      <w:pPr>
        <w:pStyle w:val="BodyText"/>
        <w:spacing w:before="9"/>
        <w:rPr>
          <w:sz w:val="21"/>
        </w:rPr>
      </w:pPr>
    </w:p>
    <w:p w14:paraId="4CB01909" w14:textId="77777777" w:rsidR="0099208A" w:rsidRDefault="0099208A">
      <w:pPr>
        <w:pStyle w:val="BodyText"/>
        <w:spacing w:before="9"/>
        <w:rPr>
          <w:sz w:val="21"/>
        </w:rPr>
      </w:pPr>
    </w:p>
    <w:p w14:paraId="2FF0A130" w14:textId="1D0FBA31" w:rsidR="00E91786" w:rsidRDefault="00285040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List 5 </w:t>
      </w:r>
      <w:r w:rsidR="000D37CE">
        <w:t>common general provisions contained in a Definitive Trust Deed</w:t>
      </w:r>
      <w:r w:rsidR="00E91786">
        <w:t>.</w:t>
      </w:r>
    </w:p>
    <w:p w14:paraId="3D646882" w14:textId="7777777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128C90B9" w14:textId="77777777" w:rsidR="009D5026" w:rsidRDefault="009D5026" w:rsidP="00E91786">
      <w:pPr>
        <w:pStyle w:val="BodyText"/>
        <w:ind w:left="527"/>
      </w:pPr>
    </w:p>
    <w:p w14:paraId="1921462D" w14:textId="0FD28890" w:rsidR="009D5026" w:rsidRDefault="009D5026" w:rsidP="00E91786">
      <w:pPr>
        <w:pStyle w:val="BodyText"/>
        <w:ind w:left="527"/>
      </w:pPr>
    </w:p>
    <w:p w14:paraId="1ACDB915" w14:textId="77777777" w:rsidR="0099208A" w:rsidRDefault="0099208A" w:rsidP="00E91786">
      <w:pPr>
        <w:pStyle w:val="BodyText"/>
        <w:ind w:left="527"/>
      </w:pPr>
    </w:p>
    <w:p w14:paraId="67E59C2B" w14:textId="5A357E05" w:rsidR="009D5026" w:rsidRDefault="0081034F" w:rsidP="009D502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List the arrangements a participating employer departing from a DB scheme may enter into in order to reduce the amount of section 75 debt triggered as a result of the exit from the scheme</w:t>
      </w:r>
      <w:r w:rsidR="009D5026">
        <w:t>.</w:t>
      </w:r>
    </w:p>
    <w:p w14:paraId="6EA4FAD4" w14:textId="77777777" w:rsidR="009D5026" w:rsidRDefault="009D5026" w:rsidP="009D502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0AE674AA" w14:textId="77777777" w:rsidR="00B11469" w:rsidRDefault="00B11469" w:rsidP="009D5026">
      <w:pPr>
        <w:pStyle w:val="BodyText"/>
        <w:ind w:left="527"/>
      </w:pPr>
    </w:p>
    <w:p w14:paraId="6BDD1534" w14:textId="18CC64E2" w:rsidR="00E91786" w:rsidRDefault="00E91786"/>
    <w:p w14:paraId="7446FD40" w14:textId="626E8792" w:rsidR="0081034F" w:rsidRDefault="0081034F"/>
    <w:p w14:paraId="3EF1E8B4" w14:textId="03AA3BAB" w:rsidR="00C344E3" w:rsidRDefault="00680A48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 xml:space="preserve">In relation to </w:t>
      </w:r>
      <w:r w:rsidR="00F845AB">
        <w:t xml:space="preserve">pensions liberation, outline the </w:t>
      </w:r>
      <w:r w:rsidR="00CB3494">
        <w:t>typical</w:t>
      </w:r>
      <w:r w:rsidR="00F845AB">
        <w:t xml:space="preserve"> features of a pension scam and list</w:t>
      </w:r>
      <w:r w:rsidR="0081034F">
        <w:t xml:space="preserve"> the key risk indicators </w:t>
      </w:r>
      <w:r w:rsidR="00F845AB">
        <w:t>for trustees and members</w:t>
      </w:r>
      <w:r w:rsidR="00C739BD">
        <w:t>.</w:t>
      </w:r>
    </w:p>
    <w:p w14:paraId="4E44351E" w14:textId="77777777" w:rsidR="00D72E29" w:rsidRDefault="00D72E29" w:rsidP="00EC5327">
      <w:pPr>
        <w:spacing w:before="34"/>
        <w:ind w:left="8021"/>
        <w:rPr>
          <w:b/>
          <w:sz w:val="18"/>
        </w:rPr>
      </w:pPr>
    </w:p>
    <w:p w14:paraId="7D97FDCB" w14:textId="67A8B568" w:rsidR="00C344E3" w:rsidRPr="00EC5327" w:rsidRDefault="00C739BD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t>10 marks</w:t>
      </w:r>
    </w:p>
    <w:p w14:paraId="1A9C838A" w14:textId="77777777" w:rsidR="00C344E3" w:rsidRDefault="00C344E3"/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default" r:id="rId7"/>
          <w:footerReference w:type="default" r:id="rId8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482DB6BA" w:rsidR="00424994" w:rsidRDefault="00CB3494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Outline how a person’s total pension rights are valued in order to test the benefits against the Lifetime Allowance. Your answer should include a worked example of a valuation</w:t>
      </w:r>
      <w:r w:rsidR="00B11469">
        <w:t xml:space="preserve">. </w:t>
      </w: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7D9E9CC9" w14:textId="77777777" w:rsidR="00D72E29" w:rsidRDefault="00D72E29" w:rsidP="00AB46AC">
      <w:pPr>
        <w:pStyle w:val="BodyText"/>
      </w:pPr>
    </w:p>
    <w:sectPr w:rsidR="00D72E29" w:rsidSect="00B11469">
      <w:headerReference w:type="default" r:id="rId9"/>
      <w:footerReference w:type="default" r:id="rId10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0A0D" w14:textId="77777777" w:rsidR="00DC2AC0" w:rsidRDefault="00DC2AC0">
      <w:r>
        <w:separator/>
      </w:r>
    </w:p>
  </w:endnote>
  <w:endnote w:type="continuationSeparator" w:id="0">
    <w:p w14:paraId="67AEE8EA" w14:textId="77777777" w:rsidR="00DC2AC0" w:rsidRDefault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58D170FB" w:rsidR="00C344E3" w:rsidRDefault="00C344E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77777777" w:rsidR="00424994" w:rsidRDefault="004249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6335" w14:textId="77777777" w:rsidR="00DC2AC0" w:rsidRDefault="00DC2AC0">
      <w:r>
        <w:separator/>
      </w:r>
    </w:p>
  </w:footnote>
  <w:footnote w:type="continuationSeparator" w:id="0">
    <w:p w14:paraId="45630AAC" w14:textId="77777777" w:rsidR="00DC2AC0" w:rsidRDefault="00DC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B442" w14:textId="2AE7A70C" w:rsidR="00423A2A" w:rsidRDefault="00423A2A" w:rsidP="00423A2A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40956703" wp14:editId="5684421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43191D78" w14:textId="77777777" w:rsidR="00423A2A" w:rsidRDefault="00423A2A" w:rsidP="00423A2A">
    <w:pPr>
      <w:jc w:val="right"/>
      <w:rPr>
        <w:b/>
        <w:bCs/>
      </w:rPr>
    </w:pPr>
    <w:r>
      <w:t xml:space="preserve">60 Goswell Road </w:t>
    </w:r>
  </w:p>
  <w:p w14:paraId="358C6819" w14:textId="77777777" w:rsidR="00423A2A" w:rsidRDefault="00423A2A" w:rsidP="00423A2A">
    <w:pPr>
      <w:jc w:val="right"/>
      <w:rPr>
        <w:b/>
        <w:bCs/>
      </w:rPr>
    </w:pPr>
    <w:r>
      <w:t xml:space="preserve">London </w:t>
    </w:r>
  </w:p>
  <w:p w14:paraId="66826950" w14:textId="77777777" w:rsidR="00423A2A" w:rsidRDefault="00423A2A" w:rsidP="00423A2A">
    <w:pPr>
      <w:jc w:val="right"/>
      <w:rPr>
        <w:b/>
        <w:bCs/>
      </w:rPr>
    </w:pPr>
    <w:r>
      <w:t xml:space="preserve">EC1M 7AD </w:t>
    </w:r>
  </w:p>
  <w:p w14:paraId="340F00EC" w14:textId="77777777" w:rsidR="00423A2A" w:rsidRDefault="00423A2A" w:rsidP="00423A2A">
    <w:pPr>
      <w:jc w:val="right"/>
      <w:rPr>
        <w:b/>
        <w:bCs/>
      </w:rPr>
    </w:pPr>
    <w:r>
      <w:t xml:space="preserve">T: +44 (0) 20 7247 1452 </w:t>
    </w:r>
  </w:p>
  <w:p w14:paraId="3EA335ED" w14:textId="77777777" w:rsidR="00423A2A" w:rsidRDefault="00423A2A" w:rsidP="00423A2A">
    <w:pPr>
      <w:jc w:val="right"/>
      <w:rPr>
        <w:b/>
        <w:bCs/>
      </w:rPr>
    </w:pPr>
    <w:r>
      <w:t>W: www.pensions-pmi.org.uk</w:t>
    </w:r>
  </w:p>
  <w:p w14:paraId="1121A08A" w14:textId="318E57D2" w:rsidR="00C344E3" w:rsidRDefault="00C344E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92A"/>
    <w:multiLevelType w:val="hybridMultilevel"/>
    <w:tmpl w:val="EFC0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A85"/>
    <w:multiLevelType w:val="hybridMultilevel"/>
    <w:tmpl w:val="C778F47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3669FF"/>
    <w:multiLevelType w:val="hybridMultilevel"/>
    <w:tmpl w:val="29285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01D40"/>
    <w:multiLevelType w:val="hybridMultilevel"/>
    <w:tmpl w:val="7C30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2D61"/>
    <w:multiLevelType w:val="hybridMultilevel"/>
    <w:tmpl w:val="6F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71E6"/>
    <w:multiLevelType w:val="hybridMultilevel"/>
    <w:tmpl w:val="AF2C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6323F"/>
    <w:multiLevelType w:val="hybridMultilevel"/>
    <w:tmpl w:val="96A8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6" w15:restartNumberingAfterBreak="0">
    <w:nsid w:val="5F5F163A"/>
    <w:multiLevelType w:val="hybridMultilevel"/>
    <w:tmpl w:val="A3E89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D3B25"/>
    <w:multiLevelType w:val="hybridMultilevel"/>
    <w:tmpl w:val="62F2623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708E3C1C"/>
    <w:multiLevelType w:val="hybridMultilevel"/>
    <w:tmpl w:val="E68C06E6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715C259B"/>
    <w:multiLevelType w:val="hybridMultilevel"/>
    <w:tmpl w:val="C7B0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B5076"/>
    <w:multiLevelType w:val="hybridMultilevel"/>
    <w:tmpl w:val="F5A8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8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7"/>
  </w:num>
  <w:num w:numId="17">
    <w:abstractNumId w:val="17"/>
  </w:num>
  <w:num w:numId="18">
    <w:abstractNumId w:val="0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20A06"/>
    <w:rsid w:val="000950AD"/>
    <w:rsid w:val="000B0917"/>
    <w:rsid w:val="000C48DE"/>
    <w:rsid w:val="000D37CE"/>
    <w:rsid w:val="000E6648"/>
    <w:rsid w:val="001379D5"/>
    <w:rsid w:val="00150183"/>
    <w:rsid w:val="00153CCA"/>
    <w:rsid w:val="0028210C"/>
    <w:rsid w:val="00285040"/>
    <w:rsid w:val="002A12DE"/>
    <w:rsid w:val="002D6DB9"/>
    <w:rsid w:val="002E547D"/>
    <w:rsid w:val="003718CB"/>
    <w:rsid w:val="00375070"/>
    <w:rsid w:val="00401AEA"/>
    <w:rsid w:val="00407424"/>
    <w:rsid w:val="00423A2A"/>
    <w:rsid w:val="00424994"/>
    <w:rsid w:val="004D4284"/>
    <w:rsid w:val="00611605"/>
    <w:rsid w:val="00680A48"/>
    <w:rsid w:val="006C6E78"/>
    <w:rsid w:val="007722D3"/>
    <w:rsid w:val="007D405B"/>
    <w:rsid w:val="007F530F"/>
    <w:rsid w:val="0081034F"/>
    <w:rsid w:val="00815621"/>
    <w:rsid w:val="0086205F"/>
    <w:rsid w:val="008C4CFA"/>
    <w:rsid w:val="0099208A"/>
    <w:rsid w:val="00995E47"/>
    <w:rsid w:val="009A1962"/>
    <w:rsid w:val="009D5026"/>
    <w:rsid w:val="00AB46AC"/>
    <w:rsid w:val="00B11469"/>
    <w:rsid w:val="00B8212A"/>
    <w:rsid w:val="00C344E3"/>
    <w:rsid w:val="00C367D1"/>
    <w:rsid w:val="00C739BD"/>
    <w:rsid w:val="00CB3494"/>
    <w:rsid w:val="00D16503"/>
    <w:rsid w:val="00D43626"/>
    <w:rsid w:val="00D72E29"/>
    <w:rsid w:val="00DC2AC0"/>
    <w:rsid w:val="00DF0CCF"/>
    <w:rsid w:val="00E90B5D"/>
    <w:rsid w:val="00E91786"/>
    <w:rsid w:val="00EC5327"/>
    <w:rsid w:val="00F17FF0"/>
    <w:rsid w:val="00F37842"/>
    <w:rsid w:val="00F5163C"/>
    <w:rsid w:val="00F845AB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2021-10-28T23:15:00Z</dcterms:created>
  <dcterms:modified xsi:type="dcterms:W3CDTF">2021-11-16T15:18:00Z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