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B18" w14:textId="10EA6CBD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bookmarkStart w:id="0" w:name="_Hlk87967934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A5A44" wp14:editId="03946E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50C">
        <w:rPr>
          <w:lang w:val="en-US"/>
        </w:rPr>
        <w:t>Devonshire House</w:t>
      </w:r>
    </w:p>
    <w:p w14:paraId="0911E127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60 Goswell Road </w:t>
      </w:r>
    </w:p>
    <w:p w14:paraId="0DF748F2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London </w:t>
      </w:r>
    </w:p>
    <w:p w14:paraId="62B63318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EC1M 7AD </w:t>
      </w:r>
    </w:p>
    <w:p w14:paraId="02D30EFE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T: +44 (0) 20 7247 1452 </w:t>
      </w:r>
    </w:p>
    <w:p w14:paraId="75F2CFA2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>W: www.pensions-pmi.org.uk</w:t>
      </w:r>
    </w:p>
    <w:bookmarkEnd w:id="0"/>
    <w:p w14:paraId="6BB5DD49" w14:textId="77777777" w:rsidR="002A750C" w:rsidRDefault="002A750C" w:rsidP="002A750C">
      <w:pPr>
        <w:spacing w:after="0"/>
        <w:jc w:val="right"/>
      </w:pPr>
    </w:p>
    <w:p w14:paraId="38998986" w14:textId="77777777" w:rsidR="002A750C" w:rsidRDefault="002A750C" w:rsidP="00336BF3">
      <w:pPr>
        <w:spacing w:after="0"/>
        <w:jc w:val="center"/>
      </w:pPr>
    </w:p>
    <w:p w14:paraId="69E146EF" w14:textId="3AF7342E" w:rsidR="00336BF3" w:rsidRDefault="00336BF3" w:rsidP="00336BF3">
      <w:pPr>
        <w:spacing w:after="0"/>
        <w:jc w:val="center"/>
      </w:pPr>
      <w:r>
        <w:t>Core Unit 1A – Providing for Retirement</w:t>
      </w:r>
    </w:p>
    <w:p w14:paraId="01CFBD29" w14:textId="77777777" w:rsidR="00336BF3" w:rsidRDefault="00336BF3" w:rsidP="00336BF3">
      <w:pPr>
        <w:spacing w:after="0"/>
        <w:jc w:val="center"/>
      </w:pPr>
    </w:p>
    <w:p w14:paraId="0E15D583" w14:textId="77777777" w:rsidR="00336BF3" w:rsidRDefault="00336BF3" w:rsidP="00336BF3">
      <w:pPr>
        <w:spacing w:after="0"/>
        <w:jc w:val="center"/>
      </w:pPr>
      <w:r>
        <w:t xml:space="preserve">Assignment 3 Notes </w:t>
      </w:r>
    </w:p>
    <w:p w14:paraId="7E8F480F" w14:textId="572157DE" w:rsidR="00336BF3" w:rsidRDefault="00336BF3" w:rsidP="00336BF3">
      <w:pPr>
        <w:spacing w:after="0"/>
        <w:jc w:val="center"/>
      </w:pPr>
      <w:r>
        <w:t>(Part 3 – State Benefits, NEST and Automatic Enrolment)</w:t>
      </w:r>
    </w:p>
    <w:p w14:paraId="71D9A94D" w14:textId="59CC603B" w:rsidR="00336BF3" w:rsidRDefault="00336BF3" w:rsidP="00336BF3">
      <w:pPr>
        <w:spacing w:after="0"/>
        <w:jc w:val="center"/>
        <w:rPr>
          <w:b/>
          <w:bCs/>
        </w:rPr>
      </w:pPr>
      <w:r>
        <w:t>Recommended Time: 1 Hour</w:t>
      </w:r>
    </w:p>
    <w:p w14:paraId="43F6652A" w14:textId="77777777" w:rsidR="00336BF3" w:rsidRDefault="00336BF3">
      <w:pPr>
        <w:rPr>
          <w:b/>
          <w:bCs/>
        </w:rPr>
      </w:pPr>
    </w:p>
    <w:p w14:paraId="5E34802B" w14:textId="5C885736" w:rsidR="000130E0" w:rsidRPr="00336BF3" w:rsidRDefault="00196D3A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 xml:space="preserve">Outline and explain </w:t>
      </w:r>
      <w:r w:rsidR="00A84F24" w:rsidRPr="00336BF3">
        <w:rPr>
          <w:b/>
          <w:bCs/>
        </w:rPr>
        <w:t>the term ‘Pension Credit’.</w:t>
      </w:r>
    </w:p>
    <w:p w14:paraId="0FE9230A" w14:textId="182D3B27" w:rsidR="00A84F24" w:rsidRDefault="00A84F24" w:rsidP="00A84F24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AB5D65C" w14:textId="77777777" w:rsidR="00AC0329" w:rsidRDefault="00AC0329" w:rsidP="00336BF3">
      <w:pPr>
        <w:ind w:firstLine="360"/>
      </w:pPr>
      <w:r>
        <w:t>Answer should cover the following:</w:t>
      </w:r>
    </w:p>
    <w:p w14:paraId="1A43074F" w14:textId="26ECC416" w:rsidR="00A84F24" w:rsidRPr="00AC0329" w:rsidRDefault="00AC0329" w:rsidP="00AC0329">
      <w:pPr>
        <w:pStyle w:val="ListParagraph"/>
        <w:numPr>
          <w:ilvl w:val="0"/>
          <w:numId w:val="1"/>
        </w:numPr>
        <w:rPr>
          <w:b/>
          <w:bCs/>
        </w:rPr>
      </w:pPr>
      <w:r>
        <w:t>Introduced on 6 October 2003</w:t>
      </w:r>
    </w:p>
    <w:p w14:paraId="642B5662" w14:textId="44A69D99" w:rsidR="00AC0329" w:rsidRPr="00A74F88" w:rsidRDefault="00AC0329" w:rsidP="00AC0329">
      <w:pPr>
        <w:pStyle w:val="ListParagraph"/>
        <w:numPr>
          <w:ilvl w:val="0"/>
          <w:numId w:val="1"/>
        </w:numPr>
        <w:rPr>
          <w:b/>
          <w:bCs/>
        </w:rPr>
      </w:pPr>
      <w:r>
        <w:t>Replaced the Minimum Income Guarantee</w:t>
      </w:r>
      <w:r w:rsidR="00A74F88">
        <w:t>, targeting pensioners on low and modest incomes.</w:t>
      </w:r>
    </w:p>
    <w:p w14:paraId="46F8D18B" w14:textId="545F0376" w:rsidR="00A74F88" w:rsidRPr="007E1F4B" w:rsidRDefault="00A74F88" w:rsidP="00AC032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Two elements – Guarantee Credit and </w:t>
      </w:r>
      <w:r w:rsidR="007E1F4B">
        <w:t>Savings Credit</w:t>
      </w:r>
    </w:p>
    <w:p w14:paraId="5C14A374" w14:textId="02AEEB1A" w:rsidR="007E1F4B" w:rsidRPr="007E1F4B" w:rsidRDefault="007E1F4B" w:rsidP="00AC0329">
      <w:pPr>
        <w:pStyle w:val="ListParagraph"/>
        <w:numPr>
          <w:ilvl w:val="0"/>
          <w:numId w:val="1"/>
        </w:numPr>
        <w:rPr>
          <w:b/>
          <w:bCs/>
        </w:rPr>
      </w:pPr>
      <w:r>
        <w:t>Can be claimed by one member of a couple but not both.</w:t>
      </w:r>
    </w:p>
    <w:p w14:paraId="55D1C147" w14:textId="28ECA77F" w:rsidR="000F6135" w:rsidRPr="000F6135" w:rsidRDefault="00426284" w:rsidP="00AC032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Guarantee Credit – means-tested benefit. Undrawn pension rights can be </w:t>
      </w:r>
      <w:proofErr w:type="gramStart"/>
      <w:r>
        <w:t>taken into account</w:t>
      </w:r>
      <w:proofErr w:type="gramEnd"/>
      <w:r w:rsidR="006279CC">
        <w:t xml:space="preserve">. Where an individual has drawn and depleted their pension pot, will be treated as deliberately </w:t>
      </w:r>
      <w:r w:rsidR="00A11483">
        <w:t xml:space="preserve">depriving himself/herself of capital and will be treated as still being in possession. The deprivation rule will not apply where the money was spent on reducing / paying off </w:t>
      </w:r>
      <w:r w:rsidR="000F6135">
        <w:t>debt / purchasing goods if reasonable in the circumstances.</w:t>
      </w:r>
    </w:p>
    <w:p w14:paraId="0B7E04BD" w14:textId="37246880" w:rsidR="007E1F4B" w:rsidRDefault="009123B3" w:rsidP="00AC0329">
      <w:pPr>
        <w:pStyle w:val="ListParagraph"/>
        <w:numPr>
          <w:ilvl w:val="0"/>
          <w:numId w:val="1"/>
        </w:numPr>
      </w:pPr>
      <w:r w:rsidRPr="009123B3">
        <w:t>For 2021/22</w:t>
      </w:r>
      <w:r>
        <w:t>, guarantees an income of at least £177.10 per if single of £270.30 if they have a partner.</w:t>
      </w:r>
    </w:p>
    <w:p w14:paraId="0AC9D6DD" w14:textId="22CBF13E" w:rsidR="009123B3" w:rsidRDefault="009123B3" w:rsidP="00AC0329">
      <w:pPr>
        <w:pStyle w:val="ListParagraph"/>
        <w:numPr>
          <w:ilvl w:val="0"/>
          <w:numId w:val="1"/>
        </w:numPr>
      </w:pPr>
      <w:r>
        <w:t>Savings Credit – intended to reward those on modest incomes and saved for retirement</w:t>
      </w:r>
      <w:r w:rsidR="003C4687">
        <w:t>. It is paid to those who have attained the male SPA and who have made some provision towards their retirement.</w:t>
      </w:r>
    </w:p>
    <w:p w14:paraId="04F2AAED" w14:textId="1309DC93" w:rsidR="00D50060" w:rsidRDefault="00D50060" w:rsidP="00AC0329">
      <w:pPr>
        <w:pStyle w:val="ListParagraph"/>
        <w:numPr>
          <w:ilvl w:val="0"/>
          <w:numId w:val="1"/>
        </w:numPr>
      </w:pPr>
      <w:r>
        <w:t>The credit works by providing an income of 60p for each £1 of income between the lower threshold and Guarantee Credit Limit. For 2021/22, the lower threshold is £153.70 per week if they are single and £244.12 per week if they have a partner.</w:t>
      </w:r>
    </w:p>
    <w:p w14:paraId="7C5FAA19" w14:textId="5C85E89F" w:rsidR="00D50060" w:rsidRDefault="00B2167D" w:rsidP="00AC0329">
      <w:pPr>
        <w:pStyle w:val="ListParagraph"/>
        <w:numPr>
          <w:ilvl w:val="0"/>
          <w:numId w:val="1"/>
        </w:numPr>
      </w:pPr>
      <w:r>
        <w:t>Maximum savings credit - £14.04 per week if single and £15.71 per week if they have a partner.</w:t>
      </w:r>
    </w:p>
    <w:p w14:paraId="05BA4A2D" w14:textId="42DC73D0" w:rsidR="00F936E0" w:rsidRDefault="00BE1233" w:rsidP="00684B86">
      <w:pPr>
        <w:pStyle w:val="ListParagraph"/>
        <w:numPr>
          <w:ilvl w:val="0"/>
          <w:numId w:val="1"/>
        </w:numPr>
      </w:pPr>
      <w:r>
        <w:t>Savings credit does not apply to those reaching SPA after 5 April 2016.</w:t>
      </w:r>
    </w:p>
    <w:p w14:paraId="5A71F7D6" w14:textId="5F29857A" w:rsidR="00F936E0" w:rsidRDefault="00F936E0" w:rsidP="00F936E0">
      <w:pPr>
        <w:ind w:left="360"/>
      </w:pPr>
      <w:r>
        <w:t>(Relevant section of the manual is Part 3 Chapter 1.3)</w:t>
      </w:r>
    </w:p>
    <w:p w14:paraId="0D1DBC64" w14:textId="49425F38" w:rsidR="00684B86" w:rsidRDefault="00684B86" w:rsidP="00F936E0">
      <w:pPr>
        <w:ind w:left="360"/>
        <w:rPr>
          <w:b/>
          <w:bCs/>
        </w:rPr>
      </w:pPr>
    </w:p>
    <w:p w14:paraId="124BC648" w14:textId="000270F5" w:rsidR="002A750C" w:rsidRDefault="002A750C" w:rsidP="00F936E0">
      <w:pPr>
        <w:ind w:left="360"/>
        <w:rPr>
          <w:b/>
          <w:bCs/>
        </w:rPr>
      </w:pPr>
    </w:p>
    <w:p w14:paraId="78B40E57" w14:textId="77777777" w:rsidR="002A750C" w:rsidRDefault="002A750C" w:rsidP="00F936E0">
      <w:pPr>
        <w:ind w:left="360"/>
        <w:rPr>
          <w:b/>
          <w:bCs/>
        </w:rPr>
      </w:pPr>
    </w:p>
    <w:p w14:paraId="56F28571" w14:textId="25AD71F4" w:rsidR="00F936E0" w:rsidRPr="00336BF3" w:rsidRDefault="00684B86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 xml:space="preserve">List </w:t>
      </w:r>
      <w:r w:rsidR="00AC21D0" w:rsidRPr="00336BF3">
        <w:rPr>
          <w:b/>
          <w:bCs/>
        </w:rPr>
        <w:t xml:space="preserve">the </w:t>
      </w:r>
      <w:r w:rsidRPr="00336BF3">
        <w:rPr>
          <w:b/>
          <w:bCs/>
        </w:rPr>
        <w:t>key features of the new state pension.</w:t>
      </w:r>
    </w:p>
    <w:p w14:paraId="1441E08C" w14:textId="2760A47C" w:rsidR="00684B86" w:rsidRDefault="00684B86" w:rsidP="00684B86">
      <w:pPr>
        <w:ind w:left="360"/>
        <w:jc w:val="right"/>
        <w:rPr>
          <w:b/>
          <w:bCs/>
        </w:rPr>
      </w:pPr>
      <w:r>
        <w:rPr>
          <w:b/>
          <w:bCs/>
        </w:rPr>
        <w:t>10 Marks</w:t>
      </w:r>
    </w:p>
    <w:p w14:paraId="5C966130" w14:textId="77777777" w:rsidR="00684B86" w:rsidRDefault="00684B86" w:rsidP="00336BF3">
      <w:pPr>
        <w:ind w:firstLine="360"/>
      </w:pPr>
      <w:r>
        <w:t>Answer should cover the following:</w:t>
      </w:r>
    </w:p>
    <w:p w14:paraId="4192EEF5" w14:textId="0AA3FA7B" w:rsidR="00684B86" w:rsidRDefault="00F32B9C" w:rsidP="00684B86">
      <w:pPr>
        <w:pStyle w:val="ListParagraph"/>
        <w:numPr>
          <w:ilvl w:val="0"/>
          <w:numId w:val="2"/>
        </w:numPr>
      </w:pPr>
      <w:r w:rsidRPr="00F32B9C">
        <w:t>Reaching SPA after 5 April 2016</w:t>
      </w:r>
      <w:r>
        <w:t>, single flat rate</w:t>
      </w:r>
      <w:r w:rsidR="008139E9">
        <w:t xml:space="preserve"> pension replacing the BSP and state additional pension.</w:t>
      </w:r>
    </w:p>
    <w:p w14:paraId="4FCD0325" w14:textId="2D4C4F51" w:rsidR="008139E9" w:rsidRDefault="008139E9" w:rsidP="00684B86">
      <w:pPr>
        <w:pStyle w:val="ListParagraph"/>
        <w:numPr>
          <w:ilvl w:val="0"/>
          <w:numId w:val="2"/>
        </w:numPr>
      </w:pPr>
      <w:r>
        <w:t>The full rate payable to individuals with 35 or more qualifying years</w:t>
      </w:r>
      <w:r w:rsidR="00C83229">
        <w:t xml:space="preserve"> </w:t>
      </w:r>
    </w:p>
    <w:p w14:paraId="638BB1E9" w14:textId="1BC4636F" w:rsidR="00C83229" w:rsidRDefault="00C83229" w:rsidP="00684B86">
      <w:pPr>
        <w:pStyle w:val="ListParagraph"/>
        <w:numPr>
          <w:ilvl w:val="0"/>
          <w:numId w:val="2"/>
        </w:numPr>
      </w:pPr>
      <w:r>
        <w:t>Qualifying years are determined in the same way as under the BSP, der</w:t>
      </w:r>
      <w:r w:rsidR="000B31A7">
        <w:t>ived from national insurance contributions on earnings of at least 52 times the LEL.</w:t>
      </w:r>
    </w:p>
    <w:p w14:paraId="5827489A" w14:textId="0CA8DAED" w:rsidR="000B31A7" w:rsidRDefault="000B31A7" w:rsidP="00684B86">
      <w:pPr>
        <w:pStyle w:val="ListParagraph"/>
        <w:numPr>
          <w:ilvl w:val="0"/>
          <w:numId w:val="2"/>
        </w:numPr>
      </w:pPr>
      <w:r>
        <w:t>Reduced rate for qualifying years between 10 and 35</w:t>
      </w:r>
    </w:p>
    <w:p w14:paraId="44E368F9" w14:textId="0AE1FD4E" w:rsidR="000B31A7" w:rsidRDefault="00DF6C50" w:rsidP="00684B86">
      <w:pPr>
        <w:pStyle w:val="ListParagraph"/>
        <w:numPr>
          <w:ilvl w:val="0"/>
          <w:numId w:val="2"/>
        </w:numPr>
      </w:pPr>
      <w:r>
        <w:t xml:space="preserve">Self-employed </w:t>
      </w:r>
      <w:r w:rsidR="006767F2">
        <w:t>are</w:t>
      </w:r>
      <w:r>
        <w:t xml:space="preserve"> eligible</w:t>
      </w:r>
    </w:p>
    <w:p w14:paraId="0BA30EC0" w14:textId="22FBDF19" w:rsidR="00DF6C50" w:rsidRDefault="006D2152" w:rsidP="00684B86">
      <w:pPr>
        <w:pStyle w:val="ListParagraph"/>
        <w:numPr>
          <w:ilvl w:val="0"/>
          <w:numId w:val="2"/>
        </w:numPr>
      </w:pPr>
      <w:r>
        <w:lastRenderedPageBreak/>
        <w:t xml:space="preserve">Government’s intentions to be </w:t>
      </w:r>
      <w:proofErr w:type="spellStart"/>
      <w:r>
        <w:t>uprated</w:t>
      </w:r>
      <w:proofErr w:type="spellEnd"/>
      <w:r>
        <w:t xml:space="preserve"> annually by the ‘triple lock’</w:t>
      </w:r>
    </w:p>
    <w:p w14:paraId="33AA9A20" w14:textId="6DFC759B" w:rsidR="006D2152" w:rsidRDefault="00AE67C4" w:rsidP="00684B86">
      <w:pPr>
        <w:pStyle w:val="ListParagraph"/>
        <w:numPr>
          <w:ilvl w:val="0"/>
          <w:numId w:val="2"/>
        </w:numPr>
      </w:pPr>
      <w:r>
        <w:t>Increased weekly amount is available to individuals who choose to postpone</w:t>
      </w:r>
      <w:r w:rsidR="007060D9">
        <w:t xml:space="preserve"> their new state pension beyond SPA. The rate of the increase is 1/9</w:t>
      </w:r>
      <w:r w:rsidR="007060D9" w:rsidRPr="007060D9">
        <w:rPr>
          <w:vertAlign w:val="superscript"/>
        </w:rPr>
        <w:t>th</w:t>
      </w:r>
      <w:r w:rsidR="007060D9">
        <w:t xml:space="preserve"> of 1% for each week of postponement. There is no lump sum option.</w:t>
      </w:r>
    </w:p>
    <w:p w14:paraId="0938B778" w14:textId="052D8BEF" w:rsidR="007060D9" w:rsidRDefault="00ED1255" w:rsidP="00684B86">
      <w:pPr>
        <w:pStyle w:val="ListParagraph"/>
        <w:numPr>
          <w:ilvl w:val="0"/>
          <w:numId w:val="2"/>
        </w:numPr>
      </w:pPr>
      <w:r>
        <w:t>Transitional arrangements for those with qualifying years before 6 April 2016.</w:t>
      </w:r>
    </w:p>
    <w:p w14:paraId="5B6EC64F" w14:textId="373E66C0" w:rsidR="00ED1255" w:rsidRDefault="00ED1255" w:rsidP="00ED1255">
      <w:r>
        <w:t>(Relevant section of the manual is Part 3 Chapter 1.4)</w:t>
      </w:r>
    </w:p>
    <w:p w14:paraId="6FF89469" w14:textId="7A125DA3" w:rsidR="00ED1255" w:rsidRPr="00F76803" w:rsidRDefault="00ED1255" w:rsidP="00ED1255">
      <w:pPr>
        <w:rPr>
          <w:b/>
          <w:bCs/>
        </w:rPr>
      </w:pPr>
    </w:p>
    <w:p w14:paraId="2D9F26D5" w14:textId="72F489E2" w:rsidR="00F76803" w:rsidRPr="00336BF3" w:rsidRDefault="00F76803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>List 5 statutory benefits paid by the employer.</w:t>
      </w:r>
    </w:p>
    <w:p w14:paraId="6D54E2BF" w14:textId="1F5D554F" w:rsidR="00A73068" w:rsidRDefault="00A73068" w:rsidP="00A73068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504AC30E" w14:textId="2B7AAA13" w:rsidR="00A11E95" w:rsidRDefault="00A11E95" w:rsidP="00336BF3">
      <w:pPr>
        <w:ind w:firstLine="360"/>
      </w:pPr>
      <w:r>
        <w:t>List should include five of the following:</w:t>
      </w:r>
    </w:p>
    <w:p w14:paraId="5A9E8B3E" w14:textId="38104D09" w:rsidR="00A73068" w:rsidRDefault="00A11E95" w:rsidP="00A11E95">
      <w:pPr>
        <w:pStyle w:val="ListParagraph"/>
        <w:numPr>
          <w:ilvl w:val="0"/>
          <w:numId w:val="3"/>
        </w:numPr>
      </w:pPr>
      <w:r w:rsidRPr="00A11E95">
        <w:t>Statutory sick pay</w:t>
      </w:r>
    </w:p>
    <w:p w14:paraId="646827D6" w14:textId="7D9212A7" w:rsidR="00545835" w:rsidRDefault="00545835" w:rsidP="00A11E95">
      <w:pPr>
        <w:pStyle w:val="ListParagraph"/>
        <w:numPr>
          <w:ilvl w:val="0"/>
          <w:numId w:val="3"/>
        </w:numPr>
      </w:pPr>
      <w:r>
        <w:t>Statutory maternity leave / pay</w:t>
      </w:r>
    </w:p>
    <w:p w14:paraId="67E290CB" w14:textId="39F42E6C" w:rsidR="00545835" w:rsidRDefault="00545835" w:rsidP="00A11E95">
      <w:pPr>
        <w:pStyle w:val="ListParagraph"/>
        <w:numPr>
          <w:ilvl w:val="0"/>
          <w:numId w:val="3"/>
        </w:numPr>
      </w:pPr>
      <w:r>
        <w:t>Statutory paternity leave / pay</w:t>
      </w:r>
    </w:p>
    <w:p w14:paraId="67A5C165" w14:textId="2160346B" w:rsidR="00545835" w:rsidRDefault="00545835" w:rsidP="00A11E95">
      <w:pPr>
        <w:pStyle w:val="ListParagraph"/>
        <w:numPr>
          <w:ilvl w:val="0"/>
          <w:numId w:val="3"/>
        </w:numPr>
      </w:pPr>
      <w:r>
        <w:t>Statutory adoption leave / pay</w:t>
      </w:r>
    </w:p>
    <w:p w14:paraId="02C7A7EB" w14:textId="7A8D0F95" w:rsidR="00545835" w:rsidRDefault="00545835" w:rsidP="00A11E95">
      <w:pPr>
        <w:pStyle w:val="ListParagraph"/>
        <w:numPr>
          <w:ilvl w:val="0"/>
          <w:numId w:val="3"/>
        </w:numPr>
      </w:pPr>
      <w:r>
        <w:t>Shared parental leave</w:t>
      </w:r>
      <w:r w:rsidR="006978F4">
        <w:t xml:space="preserve"> / statutory shared parental pay</w:t>
      </w:r>
    </w:p>
    <w:p w14:paraId="109BAE29" w14:textId="54D553C7" w:rsidR="006978F4" w:rsidRDefault="006978F4" w:rsidP="00A11E95">
      <w:pPr>
        <w:pStyle w:val="ListParagraph"/>
        <w:numPr>
          <w:ilvl w:val="0"/>
          <w:numId w:val="3"/>
        </w:numPr>
      </w:pPr>
      <w:r>
        <w:t xml:space="preserve">Statutory parental bereavement leave / statutory parental bereavement </w:t>
      </w:r>
      <w:proofErr w:type="gramStart"/>
      <w:r>
        <w:t>pay</w:t>
      </w:r>
      <w:proofErr w:type="gramEnd"/>
    </w:p>
    <w:p w14:paraId="516C5231" w14:textId="5F6B2E53" w:rsidR="008C71BD" w:rsidRDefault="008C71BD" w:rsidP="008C71BD">
      <w:r>
        <w:t xml:space="preserve">(Relevant section of the manual is Part 3 Chapter </w:t>
      </w:r>
      <w:r w:rsidR="008D21F1">
        <w:t>2.1.1, 2.1.2, 2.1.3, 2.1.4,</w:t>
      </w:r>
      <w:r w:rsidR="00C64C5D">
        <w:t xml:space="preserve"> 2.1.5, &amp; 2.1.6</w:t>
      </w:r>
      <w:r>
        <w:t>)</w:t>
      </w:r>
    </w:p>
    <w:p w14:paraId="2DDD20BD" w14:textId="3227B145" w:rsidR="00C64C5D" w:rsidRDefault="00C64C5D" w:rsidP="008C71BD"/>
    <w:p w14:paraId="37C86B8C" w14:textId="4F1FA052" w:rsidR="001A1C0F" w:rsidRPr="00336BF3" w:rsidRDefault="001A1C0F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>Explain the key features of Automatic Enrolment</w:t>
      </w:r>
    </w:p>
    <w:p w14:paraId="6513271E" w14:textId="010DA34D" w:rsidR="001A1C0F" w:rsidRDefault="001A1C0F" w:rsidP="001A1C0F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CCDF5DD" w14:textId="77777777" w:rsidR="001A1C0F" w:rsidRDefault="001A1C0F" w:rsidP="00336BF3">
      <w:pPr>
        <w:ind w:firstLine="360"/>
      </w:pPr>
      <w:r>
        <w:t>Answer should cover the following:</w:t>
      </w:r>
    </w:p>
    <w:p w14:paraId="033E653E" w14:textId="6E714C41" w:rsidR="001A1C0F" w:rsidRDefault="001A1C0F" w:rsidP="001A1C0F">
      <w:pPr>
        <w:pStyle w:val="ListParagraph"/>
        <w:numPr>
          <w:ilvl w:val="0"/>
          <w:numId w:val="4"/>
        </w:numPr>
      </w:pPr>
      <w:r w:rsidRPr="001A1C0F">
        <w:t xml:space="preserve">All eligible </w:t>
      </w:r>
      <w:r>
        <w:t>jobholders must be automatically enrolled into a qualifying scheme</w:t>
      </w:r>
      <w:r w:rsidR="005B1721">
        <w:t>. They may opt-out within one month of being auto-enrolled.</w:t>
      </w:r>
    </w:p>
    <w:p w14:paraId="0B875420" w14:textId="2D04583B" w:rsidR="005B1721" w:rsidRDefault="005B1721" w:rsidP="001A1C0F">
      <w:pPr>
        <w:pStyle w:val="ListParagraph"/>
        <w:numPr>
          <w:ilvl w:val="0"/>
          <w:numId w:val="4"/>
        </w:numPr>
      </w:pPr>
      <w:r>
        <w:t xml:space="preserve">The employer has a duty to automatically </w:t>
      </w:r>
      <w:r w:rsidR="00972CE0">
        <w:t>re-en</w:t>
      </w:r>
      <w:r>
        <w:t>rol eligible jobholders</w:t>
      </w:r>
      <w:r w:rsidR="00972CE0">
        <w:t xml:space="preserve"> who have opted out every three years.</w:t>
      </w:r>
    </w:p>
    <w:p w14:paraId="131A0C4D" w14:textId="77777777" w:rsidR="00A46E42" w:rsidRDefault="00972CE0" w:rsidP="001A1C0F">
      <w:pPr>
        <w:pStyle w:val="ListParagraph"/>
        <w:numPr>
          <w:ilvl w:val="0"/>
          <w:numId w:val="4"/>
        </w:numPr>
      </w:pPr>
      <w:r>
        <w:t xml:space="preserve">Employers can postpone their </w:t>
      </w:r>
      <w:r w:rsidR="001B3814">
        <w:t xml:space="preserve">automatic enrolment duties by up to 3 months starting from when the individual </w:t>
      </w:r>
      <w:r w:rsidR="00A46E42">
        <w:t>becomes eligible.</w:t>
      </w:r>
    </w:p>
    <w:p w14:paraId="1AB9A4C8" w14:textId="499199F6" w:rsidR="00972CE0" w:rsidRDefault="00A46E42" w:rsidP="001A1C0F">
      <w:pPr>
        <w:pStyle w:val="ListParagraph"/>
        <w:numPr>
          <w:ilvl w:val="0"/>
          <w:numId w:val="4"/>
        </w:numPr>
      </w:pPr>
      <w:r>
        <w:t>The automatic enrolment duties were introduced in stages for existing employers</w:t>
      </w:r>
      <w:r w:rsidR="0035470F">
        <w:t xml:space="preserve"> starting with the larger employers. The duties now apply to all new employers from the date</w:t>
      </w:r>
      <w:r w:rsidR="00081D15">
        <w:t xml:space="preserve"> on which their first worker begins to be employed.</w:t>
      </w:r>
    </w:p>
    <w:p w14:paraId="71CC5E30" w14:textId="0E161EDA" w:rsidR="00081D15" w:rsidRDefault="00081D15" w:rsidP="001A1C0F">
      <w:pPr>
        <w:pStyle w:val="ListParagraph"/>
        <w:numPr>
          <w:ilvl w:val="0"/>
          <w:numId w:val="4"/>
        </w:numPr>
      </w:pPr>
      <w:r>
        <w:t>Employers providing DB or hybrid qualifying scheme</w:t>
      </w:r>
      <w:r w:rsidR="00A65B24">
        <w:t xml:space="preserve"> membership</w:t>
      </w:r>
      <w:r w:rsidR="007733C2">
        <w:t xml:space="preserve"> were able to defer their duties for certain existing jobholders until 1 October 2017</w:t>
      </w:r>
      <w:r w:rsidR="00A65B24">
        <w:t>, provided jobholders could opt-in.</w:t>
      </w:r>
    </w:p>
    <w:p w14:paraId="01AA5469" w14:textId="103F02EC" w:rsidR="00C93676" w:rsidRDefault="00C93676" w:rsidP="001A1C0F">
      <w:pPr>
        <w:pStyle w:val="ListParagraph"/>
        <w:numPr>
          <w:ilvl w:val="0"/>
          <w:numId w:val="4"/>
        </w:numPr>
      </w:pPr>
      <w:r>
        <w:t xml:space="preserve">3 categories of worker </w:t>
      </w:r>
      <w:r w:rsidR="00F8264B">
        <w:t>–</w:t>
      </w:r>
      <w:r>
        <w:t xml:space="preserve"> </w:t>
      </w:r>
      <w:r w:rsidR="00F8264B">
        <w:t>eligible jobholder, non-eligible jobholder and entitled worker.</w:t>
      </w:r>
    </w:p>
    <w:p w14:paraId="5C5FD04E" w14:textId="5BE9C61A" w:rsidR="00F8264B" w:rsidRDefault="00F8264B" w:rsidP="00F8264B">
      <w:pPr>
        <w:pStyle w:val="ListParagraph"/>
      </w:pPr>
      <w:r>
        <w:t xml:space="preserve">Eligible jobholder </w:t>
      </w:r>
      <w:r w:rsidR="009F3788">
        <w:t>–</w:t>
      </w:r>
      <w:r>
        <w:t xml:space="preserve"> </w:t>
      </w:r>
      <w:r w:rsidR="009F3788">
        <w:t xml:space="preserve">aged between 22 and SPA and earning more than an earnings trigger </w:t>
      </w:r>
      <w:r w:rsidR="00B66C32">
        <w:t>must be automatically enrolled.</w:t>
      </w:r>
    </w:p>
    <w:p w14:paraId="3261C81C" w14:textId="447477AD" w:rsidR="00B66C32" w:rsidRDefault="00B66C32" w:rsidP="00F8264B">
      <w:pPr>
        <w:pStyle w:val="ListParagraph"/>
      </w:pPr>
      <w:r>
        <w:t xml:space="preserve">Non-eligible jobholders </w:t>
      </w:r>
      <w:r w:rsidR="0020457E">
        <w:t>(</w:t>
      </w:r>
      <w:r>
        <w:t>earning less than</w:t>
      </w:r>
      <w:r w:rsidR="00171D7E">
        <w:t xml:space="preserve"> the earnings trigger</w:t>
      </w:r>
      <w:r w:rsidR="0020457E">
        <w:t>)</w:t>
      </w:r>
      <w:r w:rsidR="00171D7E">
        <w:t xml:space="preserve"> and workers aged between 16 and 22 or between SPA and 75</w:t>
      </w:r>
      <w:r w:rsidR="0002277C">
        <w:t xml:space="preserve"> and have the qualified earnings</w:t>
      </w:r>
      <w:r w:rsidR="00E37224">
        <w:t xml:space="preserve"> do not have to be automatically enrolled but informed of their right to membership of such a scheme.</w:t>
      </w:r>
    </w:p>
    <w:p w14:paraId="43200D27" w14:textId="22DB6A60" w:rsidR="0020457E" w:rsidRDefault="0020457E" w:rsidP="00F8264B">
      <w:pPr>
        <w:pStyle w:val="ListParagraph"/>
      </w:pPr>
      <w:r>
        <w:t xml:space="preserve">Workers aged between 16 and 75 who do not have the qualified </w:t>
      </w:r>
      <w:r w:rsidR="005C4582">
        <w:t xml:space="preserve">earnings - known as entitled workers. Must be informed </w:t>
      </w:r>
      <w:r w:rsidR="00376F5B">
        <w:t>of their right to membership of a scheme but does not need to be a qualifying scheme.</w:t>
      </w:r>
    </w:p>
    <w:p w14:paraId="568CB32D" w14:textId="20C5BC15" w:rsidR="003E1080" w:rsidRDefault="003E1080" w:rsidP="003E1080">
      <w:pPr>
        <w:pStyle w:val="ListParagraph"/>
        <w:numPr>
          <w:ilvl w:val="0"/>
          <w:numId w:val="4"/>
        </w:numPr>
      </w:pPr>
      <w:r>
        <w:lastRenderedPageBreak/>
        <w:t xml:space="preserve">Qualifying scheme </w:t>
      </w:r>
      <w:r w:rsidR="001A30E2">
        <w:t>–</w:t>
      </w:r>
      <w:r>
        <w:t xml:space="preserve"> </w:t>
      </w:r>
      <w:r w:rsidR="001A30E2">
        <w:t>HMRC registered occupational or personal pension scheme that meets certain minimum quality requirements</w:t>
      </w:r>
      <w:r w:rsidR="00066C57">
        <w:t>. These depend on the type of pension scheme.</w:t>
      </w:r>
    </w:p>
    <w:p w14:paraId="5CCD44A6" w14:textId="3D50EB7A" w:rsidR="00066C57" w:rsidRDefault="00066C57" w:rsidP="00066C57">
      <w:pPr>
        <w:pStyle w:val="ListParagraph"/>
      </w:pPr>
      <w:r>
        <w:t>DC – contributions of at least 8% of qualifying earnings</w:t>
      </w:r>
      <w:r w:rsidR="00EA2F0C">
        <w:t>, at least 3% must be paid by the employer.</w:t>
      </w:r>
    </w:p>
    <w:p w14:paraId="646689D9" w14:textId="109E94B4" w:rsidR="00EA2F0C" w:rsidRDefault="00EA2F0C" w:rsidP="00066C57">
      <w:pPr>
        <w:pStyle w:val="ListParagraph"/>
      </w:pPr>
      <w:r>
        <w:t>DB – either satisfy a test scheme standard or meet the alternative quality requirements for DB schemes.</w:t>
      </w:r>
    </w:p>
    <w:p w14:paraId="2EBB7956" w14:textId="767F5BF2" w:rsidR="00596081" w:rsidRDefault="00596081" w:rsidP="00066C57">
      <w:pPr>
        <w:pStyle w:val="ListParagraph"/>
      </w:pPr>
      <w:r>
        <w:t xml:space="preserve">CARE – must meet additional </w:t>
      </w:r>
      <w:r w:rsidR="001D454C">
        <w:t>requirements relating to the revaluation of benefits.</w:t>
      </w:r>
    </w:p>
    <w:p w14:paraId="0EF74629" w14:textId="3F4B4506" w:rsidR="001D454C" w:rsidRDefault="001D454C" w:rsidP="00066C57">
      <w:pPr>
        <w:pStyle w:val="ListParagraph"/>
      </w:pPr>
    </w:p>
    <w:p w14:paraId="1A8F2FCF" w14:textId="3D92395B" w:rsidR="001D454C" w:rsidRDefault="001D454C" w:rsidP="001D454C">
      <w:r>
        <w:t>(Relevant section of the manual is Part 3 Chapter 3.2.1)</w:t>
      </w:r>
    </w:p>
    <w:p w14:paraId="2DAF2FCD" w14:textId="77777777" w:rsidR="00336BF3" w:rsidRDefault="00336BF3" w:rsidP="001D454C"/>
    <w:p w14:paraId="07F5DEBB" w14:textId="6D02ACA9" w:rsidR="001D454C" w:rsidRPr="00336BF3" w:rsidRDefault="003853C7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>Explain the minimum contributions for DC schemes in respect of automatic enrolment.</w:t>
      </w:r>
    </w:p>
    <w:p w14:paraId="63F2C2B9" w14:textId="074E849D" w:rsidR="003853C7" w:rsidRDefault="003853C7" w:rsidP="003853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1218A4A8" w14:textId="77777777" w:rsidR="003853C7" w:rsidRDefault="003853C7" w:rsidP="00336BF3">
      <w:pPr>
        <w:ind w:firstLine="360"/>
      </w:pPr>
      <w:r>
        <w:t>Answer should cover the following:</w:t>
      </w:r>
    </w:p>
    <w:p w14:paraId="6A422FEF" w14:textId="6EA54F34" w:rsidR="003853C7" w:rsidRDefault="004A39D2" w:rsidP="00C760D1">
      <w:pPr>
        <w:pStyle w:val="ListParagraph"/>
        <w:numPr>
          <w:ilvl w:val="0"/>
          <w:numId w:val="4"/>
        </w:numPr>
      </w:pPr>
      <w:r w:rsidRPr="004A39D2">
        <w:t xml:space="preserve">The </w:t>
      </w:r>
      <w:r>
        <w:t>minimum contribution requirement has been phased in</w:t>
      </w:r>
    </w:p>
    <w:p w14:paraId="56DC7866" w14:textId="2BBE4656" w:rsidR="004A39D2" w:rsidRDefault="004A39D2" w:rsidP="00C760D1">
      <w:pPr>
        <w:pStyle w:val="ListParagraph"/>
        <w:numPr>
          <w:ilvl w:val="0"/>
          <w:numId w:val="4"/>
        </w:numPr>
      </w:pPr>
      <w:r>
        <w:t xml:space="preserve">Period between employer’s staging date and 5 April 2018 </w:t>
      </w:r>
      <w:r w:rsidR="001332A1">
        <w:t>–</w:t>
      </w:r>
      <w:r>
        <w:t xml:space="preserve"> </w:t>
      </w:r>
      <w:r w:rsidR="001332A1">
        <w:t>total contributions of 2% of qualifying earnings, at least 1% from employer</w:t>
      </w:r>
    </w:p>
    <w:p w14:paraId="3D9D1A39" w14:textId="2377F77B" w:rsidR="001332A1" w:rsidRDefault="001332A1" w:rsidP="00C760D1">
      <w:pPr>
        <w:pStyle w:val="ListParagraph"/>
        <w:numPr>
          <w:ilvl w:val="0"/>
          <w:numId w:val="4"/>
        </w:numPr>
      </w:pPr>
      <w:r>
        <w:t>From 6 April 2018</w:t>
      </w:r>
      <w:r w:rsidR="0097564A">
        <w:t xml:space="preserve">, the minimum </w:t>
      </w:r>
      <w:r w:rsidR="00281EB8">
        <w:t xml:space="preserve">contribution </w:t>
      </w:r>
      <w:r w:rsidR="0097564A">
        <w:t>rate was 5%</w:t>
      </w:r>
      <w:r w:rsidR="00281EB8">
        <w:t xml:space="preserve"> of qualifying </w:t>
      </w:r>
      <w:r w:rsidR="00186AD9">
        <w:t>earnings</w:t>
      </w:r>
      <w:r w:rsidR="0097564A">
        <w:t>, at least 2% from the employer</w:t>
      </w:r>
    </w:p>
    <w:p w14:paraId="56247F75" w14:textId="5CCAE8B0" w:rsidR="0097564A" w:rsidRDefault="0097564A" w:rsidP="00C760D1">
      <w:pPr>
        <w:pStyle w:val="ListParagraph"/>
        <w:numPr>
          <w:ilvl w:val="0"/>
          <w:numId w:val="4"/>
        </w:numPr>
      </w:pPr>
      <w:r>
        <w:t xml:space="preserve">From 6 April 2019 onwards, minimum contribution rate of </w:t>
      </w:r>
      <w:r w:rsidR="00281EB8">
        <w:t>8% of qualifying earnings, at least 3% from the employer.</w:t>
      </w:r>
    </w:p>
    <w:p w14:paraId="48C096A5" w14:textId="1EB6A2A5" w:rsidR="00186AD9" w:rsidRDefault="00186AD9" w:rsidP="00186AD9">
      <w:pPr>
        <w:ind w:left="360"/>
      </w:pPr>
      <w:r>
        <w:t>(Relevant section of the manual is Part 3 Chapter 3.2.3)</w:t>
      </w:r>
    </w:p>
    <w:p w14:paraId="5121D44F" w14:textId="0CB7FD36" w:rsidR="00186AD9" w:rsidRDefault="00186AD9" w:rsidP="00186AD9"/>
    <w:p w14:paraId="0979B37F" w14:textId="6F980723" w:rsidR="00186AD9" w:rsidRPr="00336BF3" w:rsidRDefault="00A56E1E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>Explain the term ‘NEST’.</w:t>
      </w:r>
    </w:p>
    <w:p w14:paraId="0DD04D5F" w14:textId="3BEBFBC0" w:rsidR="00A56E1E" w:rsidRDefault="00A56E1E" w:rsidP="00A56E1E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D3D2D84" w14:textId="77777777" w:rsidR="00A56E1E" w:rsidRDefault="00A56E1E" w:rsidP="00336BF3">
      <w:pPr>
        <w:ind w:firstLine="360"/>
      </w:pPr>
      <w:r>
        <w:t>Answer should cover the following:</w:t>
      </w:r>
    </w:p>
    <w:p w14:paraId="2AB4F6E9" w14:textId="641ED07A" w:rsidR="00A56E1E" w:rsidRDefault="00B43F26" w:rsidP="00A56E1E">
      <w:pPr>
        <w:pStyle w:val="ListParagraph"/>
        <w:numPr>
          <w:ilvl w:val="0"/>
          <w:numId w:val="5"/>
        </w:numPr>
      </w:pPr>
      <w:r>
        <w:t>Effectively a very large multi-employer occupational DC pension scheme</w:t>
      </w:r>
    </w:p>
    <w:p w14:paraId="0D30C079" w14:textId="5EED1B9D" w:rsidR="00B43F26" w:rsidRDefault="00B43F26" w:rsidP="00A56E1E">
      <w:pPr>
        <w:pStyle w:val="ListParagraph"/>
        <w:numPr>
          <w:ilvl w:val="0"/>
          <w:numId w:val="5"/>
        </w:numPr>
      </w:pPr>
      <w:r>
        <w:t xml:space="preserve">One of </w:t>
      </w:r>
      <w:proofErr w:type="gramStart"/>
      <w:r>
        <w:t>a number of</w:t>
      </w:r>
      <w:proofErr w:type="gramEnd"/>
      <w:r>
        <w:t xml:space="preserve"> master trusts</w:t>
      </w:r>
    </w:p>
    <w:p w14:paraId="49494215" w14:textId="4DCE0600" w:rsidR="00B43F26" w:rsidRDefault="00B43F26" w:rsidP="00A56E1E">
      <w:pPr>
        <w:pStyle w:val="ListParagraph"/>
        <w:numPr>
          <w:ilvl w:val="0"/>
          <w:numId w:val="5"/>
        </w:numPr>
      </w:pPr>
      <w:r>
        <w:t>Employers participate in these centralised</w:t>
      </w:r>
      <w:r w:rsidR="00BC5B27">
        <w:t xml:space="preserve"> arrangements but do not actively appoint or remove trustees or have a role in the management of the scheme.</w:t>
      </w:r>
    </w:p>
    <w:p w14:paraId="73C9177F" w14:textId="71EF6999" w:rsidR="00BC5B27" w:rsidRDefault="00BE6F90" w:rsidP="00A56E1E">
      <w:pPr>
        <w:pStyle w:val="ListParagraph"/>
        <w:numPr>
          <w:ilvl w:val="0"/>
          <w:numId w:val="5"/>
        </w:numPr>
      </w:pPr>
      <w:r>
        <w:t xml:space="preserve">Large scale will mean the set-up costs can be spread over a long period and recovered from what eventually will be very large </w:t>
      </w:r>
      <w:r w:rsidR="00AD6D79">
        <w:t>funds under management</w:t>
      </w:r>
      <w:r w:rsidR="00920B01">
        <w:t>, thus resulting in a low average charge.</w:t>
      </w:r>
    </w:p>
    <w:p w14:paraId="08B2F3EB" w14:textId="3BF8A32A" w:rsidR="00920B01" w:rsidRDefault="00920B01" w:rsidP="00A56E1E">
      <w:pPr>
        <w:pStyle w:val="ListParagraph"/>
        <w:numPr>
          <w:ilvl w:val="0"/>
          <w:numId w:val="5"/>
        </w:numPr>
      </w:pPr>
      <w:r>
        <w:t>Shares the ‘portability’ characteristics of personal pensions</w:t>
      </w:r>
      <w:r w:rsidR="00A15C01">
        <w:t>.</w:t>
      </w:r>
    </w:p>
    <w:p w14:paraId="4C9857FA" w14:textId="17499BE4" w:rsidR="00A15C01" w:rsidRDefault="00A15C01" w:rsidP="00A15C01">
      <w:pPr>
        <w:pStyle w:val="ListParagraph"/>
      </w:pPr>
    </w:p>
    <w:p w14:paraId="6C349C13" w14:textId="45B6AD5B" w:rsidR="006B12DA" w:rsidRDefault="006B12DA" w:rsidP="006B12DA">
      <w:pPr>
        <w:ind w:left="360"/>
      </w:pPr>
      <w:r>
        <w:t>(Relevant section of the manual is Part 3 Chapter 3.3)</w:t>
      </w:r>
    </w:p>
    <w:p w14:paraId="0C2568C8" w14:textId="6A71555B" w:rsidR="006B12DA" w:rsidRDefault="006B12DA" w:rsidP="006B12DA">
      <w:pPr>
        <w:ind w:left="360"/>
      </w:pPr>
    </w:p>
    <w:p w14:paraId="18E46638" w14:textId="0D3223E0" w:rsidR="00336BF3" w:rsidRDefault="00336BF3" w:rsidP="006B12DA">
      <w:pPr>
        <w:ind w:left="360"/>
      </w:pPr>
    </w:p>
    <w:p w14:paraId="5796FE52" w14:textId="77777777" w:rsidR="00336BF3" w:rsidRDefault="00336BF3" w:rsidP="006B12DA">
      <w:pPr>
        <w:ind w:left="360"/>
      </w:pPr>
    </w:p>
    <w:p w14:paraId="422E72A1" w14:textId="5EF0466C" w:rsidR="00B45672" w:rsidRPr="00336BF3" w:rsidRDefault="00B45672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 xml:space="preserve">Outline the benefits </w:t>
      </w:r>
      <w:r w:rsidR="00F21269" w:rsidRPr="00336BF3">
        <w:rPr>
          <w:b/>
          <w:bCs/>
        </w:rPr>
        <w:t>available from NEST?</w:t>
      </w:r>
    </w:p>
    <w:p w14:paraId="5B2AB57E" w14:textId="10421B97" w:rsidR="00F21269" w:rsidRDefault="00F21269" w:rsidP="00F21269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6FF1DADF" w14:textId="77777777" w:rsidR="00F21269" w:rsidRDefault="00F21269" w:rsidP="00336BF3">
      <w:pPr>
        <w:ind w:firstLine="360"/>
      </w:pPr>
      <w:r>
        <w:t>Answer should cover the following:</w:t>
      </w:r>
    </w:p>
    <w:p w14:paraId="4A6F3D06" w14:textId="13B5E93A" w:rsidR="00F21269" w:rsidRDefault="004A0E00" w:rsidP="00F21269">
      <w:pPr>
        <w:pStyle w:val="ListParagraph"/>
        <w:numPr>
          <w:ilvl w:val="0"/>
          <w:numId w:val="6"/>
        </w:numPr>
      </w:pPr>
      <w:r w:rsidRPr="004A0E00">
        <w:t>Subject to the same rules as other pension schemes under Finance Act 2004</w:t>
      </w:r>
    </w:p>
    <w:p w14:paraId="44C10E91" w14:textId="115FD439" w:rsidR="004A0E00" w:rsidRDefault="00C4405C" w:rsidP="00F21269">
      <w:pPr>
        <w:pStyle w:val="ListParagraph"/>
        <w:numPr>
          <w:ilvl w:val="0"/>
          <w:numId w:val="6"/>
        </w:numPr>
      </w:pPr>
      <w:r>
        <w:t>Lifetime annuity</w:t>
      </w:r>
    </w:p>
    <w:p w14:paraId="245D3D2A" w14:textId="6D0F3043" w:rsidR="00C4405C" w:rsidRDefault="00775F5F" w:rsidP="00F21269">
      <w:pPr>
        <w:pStyle w:val="ListParagraph"/>
        <w:numPr>
          <w:ilvl w:val="0"/>
          <w:numId w:val="6"/>
        </w:numPr>
      </w:pPr>
      <w:r>
        <w:t>Transfer to another registered pension arrangement</w:t>
      </w:r>
    </w:p>
    <w:p w14:paraId="7ABB6602" w14:textId="2AACC145" w:rsidR="0038239D" w:rsidRDefault="0038239D" w:rsidP="00F21269">
      <w:pPr>
        <w:pStyle w:val="ListParagraph"/>
        <w:numPr>
          <w:ilvl w:val="0"/>
          <w:numId w:val="6"/>
        </w:numPr>
      </w:pPr>
      <w:r>
        <w:t xml:space="preserve">Nest has a panel of appointed providers </w:t>
      </w:r>
      <w:r w:rsidR="00741403">
        <w:t xml:space="preserve">who provide a limited range of annuities for members. They must meet certain conditions including enabling quotes in real time, offering </w:t>
      </w:r>
      <w:r w:rsidR="0096719B">
        <w:t>competitive rates to those on the open market and providing annuities for pots of £1,500 or above.</w:t>
      </w:r>
    </w:p>
    <w:p w14:paraId="7F78CC01" w14:textId="34E7C080" w:rsidR="0096719B" w:rsidRDefault="0096719B" w:rsidP="0096719B">
      <w:pPr>
        <w:ind w:left="720"/>
      </w:pPr>
      <w:r>
        <w:t>(Relevant section of the manual is Part 3 Chapter 3.3.5)</w:t>
      </w:r>
    </w:p>
    <w:p w14:paraId="407F4F1B" w14:textId="77777777" w:rsidR="0096719B" w:rsidRPr="004A0E00" w:rsidRDefault="0096719B" w:rsidP="0096719B"/>
    <w:p w14:paraId="1299641A" w14:textId="77777777" w:rsidR="00F21269" w:rsidRDefault="00F21269" w:rsidP="006B12DA">
      <w:pPr>
        <w:ind w:left="360"/>
      </w:pPr>
    </w:p>
    <w:p w14:paraId="7DEE40A2" w14:textId="77777777" w:rsidR="004F70D6" w:rsidRPr="00A56E1E" w:rsidRDefault="004F70D6" w:rsidP="00A15C01">
      <w:pPr>
        <w:pStyle w:val="ListParagraph"/>
      </w:pPr>
    </w:p>
    <w:p w14:paraId="6F4D88F8" w14:textId="77777777" w:rsidR="00186AD9" w:rsidRPr="004A39D2" w:rsidRDefault="00186AD9" w:rsidP="00186AD9"/>
    <w:p w14:paraId="45A3BE83" w14:textId="77777777" w:rsidR="001D454C" w:rsidRPr="001A1C0F" w:rsidRDefault="001D454C" w:rsidP="00066C57">
      <w:pPr>
        <w:pStyle w:val="ListParagraph"/>
      </w:pPr>
    </w:p>
    <w:p w14:paraId="16FBD04A" w14:textId="77777777" w:rsidR="008C71BD" w:rsidRDefault="008C71BD" w:rsidP="008C71BD"/>
    <w:p w14:paraId="1AB2B4F8" w14:textId="77777777" w:rsidR="008C71BD" w:rsidRPr="00A11E95" w:rsidRDefault="008C71BD" w:rsidP="008C71BD">
      <w:pPr>
        <w:pStyle w:val="ListParagraph"/>
      </w:pPr>
    </w:p>
    <w:p w14:paraId="3F5E0134" w14:textId="77777777" w:rsidR="00ED1255" w:rsidRDefault="00ED1255" w:rsidP="00ED1255"/>
    <w:p w14:paraId="1F705962" w14:textId="77777777" w:rsidR="00ED1255" w:rsidRPr="00F32B9C" w:rsidRDefault="00ED1255" w:rsidP="00ED1255">
      <w:pPr>
        <w:ind w:left="720"/>
      </w:pPr>
    </w:p>
    <w:p w14:paraId="507C3A4A" w14:textId="77777777" w:rsidR="00BE1233" w:rsidRPr="009123B3" w:rsidRDefault="00BE1233" w:rsidP="00BE1233">
      <w:pPr>
        <w:ind w:left="360"/>
      </w:pPr>
    </w:p>
    <w:sectPr w:rsidR="00BE1233" w:rsidRPr="0091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243"/>
    <w:multiLevelType w:val="hybridMultilevel"/>
    <w:tmpl w:val="CF380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70E83"/>
    <w:multiLevelType w:val="hybridMultilevel"/>
    <w:tmpl w:val="D5FE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502"/>
    <w:multiLevelType w:val="hybridMultilevel"/>
    <w:tmpl w:val="5532D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96486"/>
    <w:multiLevelType w:val="hybridMultilevel"/>
    <w:tmpl w:val="63EA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C5146"/>
    <w:multiLevelType w:val="hybridMultilevel"/>
    <w:tmpl w:val="2CD4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496C"/>
    <w:multiLevelType w:val="hybridMultilevel"/>
    <w:tmpl w:val="9E8E2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369"/>
    <w:multiLevelType w:val="hybridMultilevel"/>
    <w:tmpl w:val="ECD6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E0"/>
    <w:rsid w:val="000130E0"/>
    <w:rsid w:val="0002277C"/>
    <w:rsid w:val="00062FD5"/>
    <w:rsid w:val="00066C57"/>
    <w:rsid w:val="00081D15"/>
    <w:rsid w:val="000B31A7"/>
    <w:rsid w:val="000F6135"/>
    <w:rsid w:val="001332A1"/>
    <w:rsid w:val="00171D7E"/>
    <w:rsid w:val="00186AD9"/>
    <w:rsid w:val="00196D3A"/>
    <w:rsid w:val="001A1C0F"/>
    <w:rsid w:val="001A30E2"/>
    <w:rsid w:val="001B3814"/>
    <w:rsid w:val="001D454C"/>
    <w:rsid w:val="0020457E"/>
    <w:rsid w:val="00281EB8"/>
    <w:rsid w:val="002A750C"/>
    <w:rsid w:val="00336BF3"/>
    <w:rsid w:val="0035470F"/>
    <w:rsid w:val="00376F5B"/>
    <w:rsid w:val="0038239D"/>
    <w:rsid w:val="003853C7"/>
    <w:rsid w:val="003C4687"/>
    <w:rsid w:val="003E1080"/>
    <w:rsid w:val="00426284"/>
    <w:rsid w:val="004A0E00"/>
    <w:rsid w:val="004A39D2"/>
    <w:rsid w:val="004F70D6"/>
    <w:rsid w:val="00545835"/>
    <w:rsid w:val="00596081"/>
    <w:rsid w:val="005B1721"/>
    <w:rsid w:val="005C4582"/>
    <w:rsid w:val="006279CC"/>
    <w:rsid w:val="006767F2"/>
    <w:rsid w:val="00684B86"/>
    <w:rsid w:val="006978F4"/>
    <w:rsid w:val="006B12DA"/>
    <w:rsid w:val="006D2152"/>
    <w:rsid w:val="007060D9"/>
    <w:rsid w:val="00741403"/>
    <w:rsid w:val="007733C2"/>
    <w:rsid w:val="00775F5F"/>
    <w:rsid w:val="007E1F4B"/>
    <w:rsid w:val="008139E9"/>
    <w:rsid w:val="008C71BD"/>
    <w:rsid w:val="008D21F1"/>
    <w:rsid w:val="009123B3"/>
    <w:rsid w:val="00920B01"/>
    <w:rsid w:val="0096719B"/>
    <w:rsid w:val="00972CE0"/>
    <w:rsid w:val="0097564A"/>
    <w:rsid w:val="009F3788"/>
    <w:rsid w:val="00A11483"/>
    <w:rsid w:val="00A11E95"/>
    <w:rsid w:val="00A15C01"/>
    <w:rsid w:val="00A46E42"/>
    <w:rsid w:val="00A56E1E"/>
    <w:rsid w:val="00A65B24"/>
    <w:rsid w:val="00A73068"/>
    <w:rsid w:val="00A74F88"/>
    <w:rsid w:val="00A84F24"/>
    <w:rsid w:val="00AC0329"/>
    <w:rsid w:val="00AC21D0"/>
    <w:rsid w:val="00AD6D79"/>
    <w:rsid w:val="00AE67C4"/>
    <w:rsid w:val="00B2167D"/>
    <w:rsid w:val="00B43F26"/>
    <w:rsid w:val="00B45672"/>
    <w:rsid w:val="00B66C32"/>
    <w:rsid w:val="00BC5B27"/>
    <w:rsid w:val="00BE1233"/>
    <w:rsid w:val="00BE6F90"/>
    <w:rsid w:val="00C4405C"/>
    <w:rsid w:val="00C64C5D"/>
    <w:rsid w:val="00C760D1"/>
    <w:rsid w:val="00C83229"/>
    <w:rsid w:val="00C93676"/>
    <w:rsid w:val="00D50060"/>
    <w:rsid w:val="00DF6C50"/>
    <w:rsid w:val="00E37224"/>
    <w:rsid w:val="00EA2F0C"/>
    <w:rsid w:val="00ED1255"/>
    <w:rsid w:val="00F21269"/>
    <w:rsid w:val="00F32B9C"/>
    <w:rsid w:val="00F76803"/>
    <w:rsid w:val="00F8264B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A623"/>
  <w15:chartTrackingRefBased/>
  <w15:docId w15:val="{92E78C0C-A821-4E60-AAE0-D8D168C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88</cp:revision>
  <dcterms:created xsi:type="dcterms:W3CDTF">2021-10-15T14:17:00Z</dcterms:created>
  <dcterms:modified xsi:type="dcterms:W3CDTF">2021-11-16T15:13:00Z</dcterms:modified>
</cp:coreProperties>
</file>