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1576" w14:textId="554999FA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77090" wp14:editId="0F8751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77221ED7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7306092D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499AF2EA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5865E6AE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584F7BB9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0E626B41" w14:textId="77777777" w:rsidR="00D6711E" w:rsidRDefault="00D6711E" w:rsidP="00053450">
      <w:pPr>
        <w:jc w:val="center"/>
      </w:pPr>
    </w:p>
    <w:p w14:paraId="39773BF8" w14:textId="6D4F1841" w:rsidR="00053450" w:rsidRDefault="00053450" w:rsidP="00053450">
      <w:pPr>
        <w:jc w:val="center"/>
      </w:pPr>
      <w:r>
        <w:t>Core Unit 1A – Providing for Retirement</w:t>
      </w:r>
    </w:p>
    <w:p w14:paraId="13224AB0" w14:textId="3331F3C0" w:rsidR="00053450" w:rsidRDefault="00053450" w:rsidP="00053450">
      <w:pPr>
        <w:spacing w:after="0"/>
        <w:jc w:val="center"/>
      </w:pPr>
      <w:r>
        <w:t>Assignment 4 Notes</w:t>
      </w:r>
    </w:p>
    <w:p w14:paraId="5477951B" w14:textId="7960ADAB" w:rsidR="00053450" w:rsidRDefault="00053450" w:rsidP="00053450">
      <w:pPr>
        <w:spacing w:after="0"/>
        <w:jc w:val="center"/>
      </w:pPr>
      <w:r>
        <w:t>(Part 4 – Workplace Pensions)</w:t>
      </w:r>
    </w:p>
    <w:p w14:paraId="0CF372CF" w14:textId="77777777" w:rsidR="00053450" w:rsidRDefault="00053450" w:rsidP="00053450">
      <w:pPr>
        <w:spacing w:after="0"/>
        <w:jc w:val="center"/>
      </w:pPr>
    </w:p>
    <w:p w14:paraId="1E133DCB" w14:textId="1E60D0F0" w:rsidR="00053450" w:rsidRDefault="00053450" w:rsidP="00053450">
      <w:pPr>
        <w:jc w:val="center"/>
        <w:rPr>
          <w:b/>
          <w:bCs/>
        </w:rPr>
      </w:pPr>
      <w:r>
        <w:t>Recommended Time: 1 Hour</w:t>
      </w:r>
    </w:p>
    <w:p w14:paraId="36ED4851" w14:textId="77777777" w:rsidR="00053450" w:rsidRDefault="00053450">
      <w:pPr>
        <w:rPr>
          <w:b/>
          <w:bCs/>
        </w:rPr>
      </w:pPr>
    </w:p>
    <w:p w14:paraId="16C9B41D" w14:textId="04274F2D" w:rsidR="00A13441" w:rsidRPr="00053450" w:rsidRDefault="000472CD" w:rsidP="00053450">
      <w:pPr>
        <w:pStyle w:val="ListParagraph"/>
        <w:numPr>
          <w:ilvl w:val="0"/>
          <w:numId w:val="11"/>
        </w:numPr>
        <w:rPr>
          <w:b/>
          <w:bCs/>
        </w:rPr>
      </w:pPr>
      <w:r w:rsidRPr="00053450">
        <w:rPr>
          <w:b/>
          <w:bCs/>
        </w:rPr>
        <w:t>Outline what an occupation</w:t>
      </w:r>
      <w:r w:rsidR="00D641C3" w:rsidRPr="00053450">
        <w:rPr>
          <w:b/>
          <w:bCs/>
        </w:rPr>
        <w:t>al</w:t>
      </w:r>
      <w:r w:rsidRPr="00053450">
        <w:rPr>
          <w:b/>
          <w:bCs/>
        </w:rPr>
        <w:t xml:space="preserve"> pension scheme is.</w:t>
      </w:r>
    </w:p>
    <w:p w14:paraId="796E00D4" w14:textId="4B60E1F7" w:rsidR="00F74D9D" w:rsidRDefault="00F74D9D" w:rsidP="00F74D9D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668B2DDA" w14:textId="77777777" w:rsidR="00EF5E24" w:rsidRDefault="00EF5E24" w:rsidP="00053450">
      <w:pPr>
        <w:ind w:firstLine="360"/>
      </w:pPr>
      <w:r>
        <w:t>Answer should cover the following:</w:t>
      </w:r>
    </w:p>
    <w:p w14:paraId="77446247" w14:textId="7768A6B4" w:rsidR="000472CD" w:rsidRDefault="001A6BFB" w:rsidP="00EF5E24">
      <w:pPr>
        <w:pStyle w:val="ListParagraph"/>
        <w:numPr>
          <w:ilvl w:val="0"/>
          <w:numId w:val="1"/>
        </w:numPr>
      </w:pPr>
      <w:r w:rsidRPr="001A6BFB">
        <w:t>Established</w:t>
      </w:r>
      <w:r>
        <w:t xml:space="preserve"> by an employer to provide pensions and other ancillary benefits to its employees</w:t>
      </w:r>
    </w:p>
    <w:p w14:paraId="04D049C5" w14:textId="09663222" w:rsidR="001A6BFB" w:rsidRDefault="001A1A65" w:rsidP="00EF5E24">
      <w:pPr>
        <w:pStyle w:val="ListParagraph"/>
        <w:numPr>
          <w:ilvl w:val="0"/>
          <w:numId w:val="1"/>
        </w:numPr>
      </w:pPr>
      <w:r>
        <w:t>Administered in the UK</w:t>
      </w:r>
    </w:p>
    <w:p w14:paraId="309E0AE2" w14:textId="23B697B5" w:rsidR="001A1A65" w:rsidRDefault="001A1A65" w:rsidP="00EF5E24">
      <w:pPr>
        <w:pStyle w:val="ListParagraph"/>
        <w:numPr>
          <w:ilvl w:val="0"/>
          <w:numId w:val="1"/>
        </w:numPr>
      </w:pPr>
      <w:r>
        <w:t>Wide range of pension schemes, set up by a letter, under a trust</w:t>
      </w:r>
    </w:p>
    <w:p w14:paraId="2EE6C250" w14:textId="6CC1F1B0" w:rsidR="00D8225B" w:rsidRDefault="00D8225B" w:rsidP="00EF5E24">
      <w:pPr>
        <w:pStyle w:val="ListParagraph"/>
        <w:numPr>
          <w:ilvl w:val="0"/>
          <w:numId w:val="1"/>
        </w:numPr>
      </w:pPr>
      <w:r>
        <w:t>Most are regulated by the requirements of the Pensions Act 1995, the Pensions Act 2004 and the Pension Schemes Act 1993.</w:t>
      </w:r>
    </w:p>
    <w:p w14:paraId="6761E20C" w14:textId="6B19CA9B" w:rsidR="0018511C" w:rsidRDefault="0018511C" w:rsidP="00EF5E24">
      <w:pPr>
        <w:pStyle w:val="ListParagraph"/>
        <w:numPr>
          <w:ilvl w:val="0"/>
          <w:numId w:val="1"/>
        </w:numPr>
      </w:pPr>
      <w:r>
        <w:t>Commonly described as either DB or DC depending on the type of benefits they provide</w:t>
      </w:r>
    </w:p>
    <w:p w14:paraId="577E8655" w14:textId="39F71614" w:rsidR="0018511C" w:rsidRDefault="00EE72DD" w:rsidP="00EF5E24">
      <w:pPr>
        <w:pStyle w:val="ListParagraph"/>
        <w:numPr>
          <w:ilvl w:val="0"/>
          <w:numId w:val="1"/>
        </w:numPr>
      </w:pPr>
      <w:r>
        <w:t>DB – typically based on accrual, salary and service</w:t>
      </w:r>
    </w:p>
    <w:p w14:paraId="5E99095C" w14:textId="77777777" w:rsidR="0059189F" w:rsidRDefault="00C035F5" w:rsidP="00EF5E24">
      <w:pPr>
        <w:pStyle w:val="ListParagraph"/>
        <w:numPr>
          <w:ilvl w:val="0"/>
          <w:numId w:val="1"/>
        </w:numPr>
      </w:pPr>
      <w:r>
        <w:t>DC – typically based on contributions paid</w:t>
      </w:r>
      <w:r w:rsidR="0059189F">
        <w:t>, investment return and annuity prices</w:t>
      </w:r>
    </w:p>
    <w:p w14:paraId="7F727E67" w14:textId="77777777" w:rsidR="00035393" w:rsidRDefault="00035393" w:rsidP="00EF5E24">
      <w:pPr>
        <w:pStyle w:val="ListParagraph"/>
        <w:numPr>
          <w:ilvl w:val="0"/>
          <w:numId w:val="1"/>
        </w:numPr>
      </w:pPr>
      <w:r>
        <w:t>Difference between the two is how they are funded and the burden of risk</w:t>
      </w:r>
    </w:p>
    <w:p w14:paraId="473CFB75" w14:textId="54A90675" w:rsidR="001965E5" w:rsidRDefault="001965E5" w:rsidP="00EF5E24">
      <w:pPr>
        <w:pStyle w:val="ListParagraph"/>
        <w:numPr>
          <w:ilvl w:val="0"/>
          <w:numId w:val="1"/>
        </w:numPr>
      </w:pPr>
      <w:r>
        <w:t>Hybrid schemes – provide both DB and DC, often provided by different sections</w:t>
      </w:r>
    </w:p>
    <w:p w14:paraId="7369A58B" w14:textId="76E49F60" w:rsidR="001965E5" w:rsidRDefault="00E80BAA" w:rsidP="00EF5E24">
      <w:pPr>
        <w:pStyle w:val="ListParagraph"/>
        <w:numPr>
          <w:ilvl w:val="0"/>
          <w:numId w:val="1"/>
        </w:numPr>
      </w:pPr>
      <w:r>
        <w:t>Finance Act 2004 – can be a member of both an occupational and personal pension scheme</w:t>
      </w:r>
    </w:p>
    <w:p w14:paraId="5716D322" w14:textId="28C278F8" w:rsidR="00C035F5" w:rsidRDefault="00C035F5" w:rsidP="00EF5E24">
      <w:pPr>
        <w:pStyle w:val="ListParagraph"/>
        <w:numPr>
          <w:ilvl w:val="0"/>
          <w:numId w:val="1"/>
        </w:numPr>
      </w:pPr>
      <w:r>
        <w:t xml:space="preserve"> </w:t>
      </w:r>
      <w:r w:rsidR="008D5B21">
        <w:t>Annual and lifetime limit on the total increase in the value of their pension savings which will qualify for tax relief</w:t>
      </w:r>
    </w:p>
    <w:p w14:paraId="47A79C02" w14:textId="4181B49C" w:rsidR="008D5B21" w:rsidRDefault="008E73E7" w:rsidP="00EF5E24">
      <w:pPr>
        <w:pStyle w:val="ListParagraph"/>
        <w:numPr>
          <w:ilvl w:val="0"/>
          <w:numId w:val="1"/>
        </w:numPr>
      </w:pPr>
      <w:r>
        <w:t>Set up under trust, are require to operate the scheme in line with the trust deed and rules and the trustees are under a fiduciary duty to act in the best interests of the member</w:t>
      </w:r>
      <w:r w:rsidR="00F74D9D">
        <w:t>s</w:t>
      </w:r>
    </w:p>
    <w:p w14:paraId="27FAAC26" w14:textId="34A1818F" w:rsidR="00F74D9D" w:rsidRDefault="00F74D9D" w:rsidP="00F74D9D">
      <w:pPr>
        <w:pStyle w:val="ListParagraph"/>
      </w:pPr>
    </w:p>
    <w:p w14:paraId="57D2FD7B" w14:textId="353B3A84" w:rsidR="00C33A6F" w:rsidRDefault="00C33A6F" w:rsidP="00C33A6F">
      <w:pPr>
        <w:ind w:left="360"/>
      </w:pPr>
      <w:r>
        <w:t xml:space="preserve">(Relevant section of the manual is Part </w:t>
      </w:r>
      <w:r w:rsidR="00D641C3">
        <w:t>4</w:t>
      </w:r>
      <w:r>
        <w:t xml:space="preserve"> Chapter </w:t>
      </w:r>
      <w:r w:rsidR="00D641C3">
        <w:t>1.1</w:t>
      </w:r>
      <w:r>
        <w:t>)</w:t>
      </w:r>
    </w:p>
    <w:p w14:paraId="088AA860" w14:textId="03A4FE51" w:rsidR="00491C06" w:rsidRDefault="00491C06" w:rsidP="00D641C3"/>
    <w:p w14:paraId="6BBD0B84" w14:textId="4E6FB998" w:rsidR="00D6711E" w:rsidRDefault="00D6711E" w:rsidP="00D641C3"/>
    <w:p w14:paraId="2F2FD2C3" w14:textId="58B554CF" w:rsidR="00D6711E" w:rsidRDefault="00D6711E" w:rsidP="00D641C3"/>
    <w:p w14:paraId="3F837E76" w14:textId="329758F9" w:rsidR="00D6711E" w:rsidRDefault="00D6711E" w:rsidP="00D641C3"/>
    <w:p w14:paraId="733D15B5" w14:textId="0976A503" w:rsidR="00D6711E" w:rsidRDefault="00D6711E" w:rsidP="00D641C3"/>
    <w:p w14:paraId="27A51911" w14:textId="77777777" w:rsidR="00D6711E" w:rsidRDefault="00D6711E" w:rsidP="00D641C3"/>
    <w:p w14:paraId="3C40A8DA" w14:textId="5931B1DA" w:rsidR="00D641C3" w:rsidRPr="00053450" w:rsidRDefault="00491C06" w:rsidP="00053450">
      <w:pPr>
        <w:pStyle w:val="ListParagraph"/>
        <w:numPr>
          <w:ilvl w:val="0"/>
          <w:numId w:val="11"/>
        </w:numPr>
        <w:rPr>
          <w:b/>
          <w:bCs/>
        </w:rPr>
      </w:pPr>
      <w:r w:rsidRPr="00053450">
        <w:rPr>
          <w:b/>
          <w:bCs/>
        </w:rPr>
        <w:t>Make short notes on the differences between personal pensions for individual and personal pensions for groups of employees.</w:t>
      </w:r>
    </w:p>
    <w:p w14:paraId="417860A4" w14:textId="56A1BCE7" w:rsidR="00491C06" w:rsidRDefault="00491C06" w:rsidP="00491C06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6A9FF08" w14:textId="77777777" w:rsidR="00F13D84" w:rsidRDefault="00F13D84" w:rsidP="00053450">
      <w:pPr>
        <w:ind w:firstLine="720"/>
      </w:pPr>
      <w:bookmarkStart w:id="0" w:name="_Hlk85469060"/>
      <w:r>
        <w:t>Answer should cover the following:</w:t>
      </w:r>
    </w:p>
    <w:bookmarkEnd w:id="0"/>
    <w:p w14:paraId="15D8DF55" w14:textId="5D2E4701" w:rsidR="00491C06" w:rsidRDefault="00F13D84" w:rsidP="00053450">
      <w:pPr>
        <w:ind w:firstLine="360"/>
        <w:rPr>
          <w:u w:val="single"/>
        </w:rPr>
      </w:pPr>
      <w:r w:rsidRPr="00F13D84">
        <w:rPr>
          <w:u w:val="single"/>
        </w:rPr>
        <w:t>For Individuals:</w:t>
      </w:r>
    </w:p>
    <w:p w14:paraId="5366D40B" w14:textId="5AAC6BF0" w:rsidR="00F13D84" w:rsidRDefault="001C502D" w:rsidP="00F13D84">
      <w:pPr>
        <w:pStyle w:val="ListParagraph"/>
        <w:numPr>
          <w:ilvl w:val="0"/>
          <w:numId w:val="2"/>
        </w:numPr>
      </w:pPr>
      <w:r w:rsidRPr="001C502D">
        <w:t xml:space="preserve">Originally </w:t>
      </w:r>
      <w:r>
        <w:t>established</w:t>
      </w:r>
      <w:r w:rsidR="005B570B">
        <w:t xml:space="preserve"> so anyone could join to save an income for retirement provided they had ‘relevant earnings’</w:t>
      </w:r>
      <w:r w:rsidR="00AE6D67">
        <w:t xml:space="preserve"> from non-pensionable employment</w:t>
      </w:r>
      <w:r w:rsidR="005B570B">
        <w:t>.</w:t>
      </w:r>
    </w:p>
    <w:p w14:paraId="3954E2EF" w14:textId="35C8C422" w:rsidR="005B570B" w:rsidRDefault="00AE6D67" w:rsidP="00F13D84">
      <w:pPr>
        <w:pStyle w:val="ListParagraph"/>
        <w:numPr>
          <w:ilvl w:val="0"/>
          <w:numId w:val="2"/>
        </w:numPr>
      </w:pPr>
      <w:r>
        <w:t>Introduced from 1 July 1988</w:t>
      </w:r>
      <w:r w:rsidR="00723333">
        <w:t xml:space="preserve"> to replace retirement annuity contracts</w:t>
      </w:r>
    </w:p>
    <w:p w14:paraId="721924FD" w14:textId="61CA4E38" w:rsidR="00723333" w:rsidRDefault="00723333" w:rsidP="00F13D84">
      <w:pPr>
        <w:pStyle w:val="ListParagraph"/>
        <w:numPr>
          <w:ilvl w:val="0"/>
          <w:numId w:val="2"/>
        </w:numPr>
      </w:pPr>
      <w:r>
        <w:t>Operate on a DC basis</w:t>
      </w:r>
    </w:p>
    <w:p w14:paraId="2927B4DA" w14:textId="6E70E8AD" w:rsidR="00723333" w:rsidRDefault="00723333" w:rsidP="00F13D84">
      <w:pPr>
        <w:pStyle w:val="ListParagraph"/>
        <w:numPr>
          <w:ilvl w:val="0"/>
          <w:numId w:val="2"/>
        </w:numPr>
      </w:pPr>
      <w:r>
        <w:t>Can be established under irrevocable trust, by deed poll or in Scotland by board resolution</w:t>
      </w:r>
    </w:p>
    <w:p w14:paraId="7C9B14FA" w14:textId="15FE4AA6" w:rsidR="004A1E45" w:rsidRDefault="004A1E45" w:rsidP="00F13D84">
      <w:pPr>
        <w:pStyle w:val="ListParagraph"/>
        <w:numPr>
          <w:ilvl w:val="0"/>
          <w:numId w:val="2"/>
        </w:numPr>
      </w:pPr>
      <w:r>
        <w:t>Must be registered with HMRC to take advantage of the tax relief available</w:t>
      </w:r>
    </w:p>
    <w:p w14:paraId="57827D6D" w14:textId="6C74C204" w:rsidR="004A1E45" w:rsidRDefault="004A1E45" w:rsidP="00F13D84">
      <w:pPr>
        <w:pStyle w:val="ListParagraph"/>
        <w:numPr>
          <w:ilvl w:val="0"/>
          <w:numId w:val="2"/>
        </w:numPr>
      </w:pPr>
      <w:r>
        <w:t>Originally meant to provide benefits on retirement, death or disability</w:t>
      </w:r>
      <w:r w:rsidR="0044785E">
        <w:t xml:space="preserve"> for self-employed or those not members of an occupational pension scheme</w:t>
      </w:r>
      <w:r w:rsidR="00E97268">
        <w:t>, although this was relaxed in 1991.</w:t>
      </w:r>
    </w:p>
    <w:p w14:paraId="56441634" w14:textId="05D81FA8" w:rsidR="00F83ABC" w:rsidRDefault="00F83ABC" w:rsidP="00F83ABC">
      <w:pPr>
        <w:ind w:left="360"/>
        <w:rPr>
          <w:u w:val="single"/>
        </w:rPr>
      </w:pPr>
      <w:r w:rsidRPr="00F83ABC">
        <w:rPr>
          <w:u w:val="single"/>
        </w:rPr>
        <w:lastRenderedPageBreak/>
        <w:t>For Groups of Employees</w:t>
      </w:r>
      <w:r>
        <w:rPr>
          <w:u w:val="single"/>
        </w:rPr>
        <w:t>:</w:t>
      </w:r>
    </w:p>
    <w:p w14:paraId="20AB323A" w14:textId="0DB0CB70" w:rsidR="00D641C3" w:rsidRDefault="00A4363E" w:rsidP="00A4363E">
      <w:pPr>
        <w:pStyle w:val="ListParagraph"/>
        <w:numPr>
          <w:ilvl w:val="0"/>
          <w:numId w:val="4"/>
        </w:numPr>
      </w:pPr>
      <w:r>
        <w:t>An employer can make pension provision to its employees by using personal pensions</w:t>
      </w:r>
      <w:r w:rsidR="007A38E3">
        <w:t xml:space="preserve"> – group personal pension</w:t>
      </w:r>
    </w:p>
    <w:p w14:paraId="52793192" w14:textId="7CA18670" w:rsidR="007A38E3" w:rsidRDefault="007A38E3" w:rsidP="00A4363E">
      <w:pPr>
        <w:pStyle w:val="ListParagraph"/>
        <w:numPr>
          <w:ilvl w:val="0"/>
          <w:numId w:val="4"/>
        </w:numPr>
      </w:pPr>
      <w:r>
        <w:t>A collection of individual personal pensions with the same pension provider</w:t>
      </w:r>
    </w:p>
    <w:p w14:paraId="5BAF6043" w14:textId="79E0D304" w:rsidR="007A38E3" w:rsidRDefault="007A38E3" w:rsidP="00A4363E">
      <w:pPr>
        <w:pStyle w:val="ListParagraph"/>
        <w:numPr>
          <w:ilvl w:val="0"/>
          <w:numId w:val="4"/>
        </w:numPr>
      </w:pPr>
      <w:r>
        <w:t>Benefits of scale</w:t>
      </w:r>
      <w:r w:rsidR="001E3487">
        <w:t>, means often better terms</w:t>
      </w:r>
    </w:p>
    <w:p w14:paraId="410C369E" w14:textId="79722204" w:rsidR="001E3487" w:rsidRDefault="00BA5D73" w:rsidP="00A4363E">
      <w:pPr>
        <w:pStyle w:val="ListParagraph"/>
        <w:numPr>
          <w:ilvl w:val="0"/>
          <w:numId w:val="4"/>
        </w:numPr>
      </w:pPr>
      <w:r>
        <w:t>Employer will contribute and normally be deductible against corporation tax</w:t>
      </w:r>
    </w:p>
    <w:p w14:paraId="2A8FF202" w14:textId="55B687C8" w:rsidR="00BA5D73" w:rsidRDefault="00BA5D73" w:rsidP="00A4363E">
      <w:pPr>
        <w:pStyle w:val="ListParagraph"/>
        <w:numPr>
          <w:ilvl w:val="0"/>
          <w:numId w:val="4"/>
        </w:numPr>
      </w:pPr>
      <w:r>
        <w:t xml:space="preserve">Not an occupational pension scheme, shares similar characteristics </w:t>
      </w:r>
      <w:r w:rsidR="00682A59">
        <w:t>–</w:t>
      </w:r>
      <w:r>
        <w:t xml:space="preserve"> </w:t>
      </w:r>
      <w:r w:rsidR="00682A59">
        <w:t>branded with company’s name and logo and appears much like an occupational pension scheme</w:t>
      </w:r>
    </w:p>
    <w:p w14:paraId="5683DD45" w14:textId="61A4644C" w:rsidR="00682A59" w:rsidRDefault="00931397" w:rsidP="00A4363E">
      <w:pPr>
        <w:pStyle w:val="ListParagraph"/>
        <w:numPr>
          <w:ilvl w:val="0"/>
          <w:numId w:val="4"/>
        </w:numPr>
      </w:pPr>
      <w:r>
        <w:t>Contributions are paid from net earnings and grossed up – relief at source</w:t>
      </w:r>
    </w:p>
    <w:p w14:paraId="7AA8A0E1" w14:textId="77777777" w:rsidR="00931397" w:rsidRDefault="00931397" w:rsidP="004A1BC5">
      <w:pPr>
        <w:pStyle w:val="ListParagraph"/>
      </w:pPr>
    </w:p>
    <w:p w14:paraId="5BE84C4B" w14:textId="579DB3AB" w:rsidR="004A1BC5" w:rsidRDefault="004A1BC5" w:rsidP="004A1BC5">
      <w:pPr>
        <w:ind w:left="360"/>
      </w:pPr>
      <w:r>
        <w:t>(Relevant section</w:t>
      </w:r>
      <w:r w:rsidR="00F346F8">
        <w:t>s</w:t>
      </w:r>
      <w:r>
        <w:t xml:space="preserve"> of the manual is Part 4 Chapter 1.2.1 &amp; 1.2.2)</w:t>
      </w:r>
    </w:p>
    <w:p w14:paraId="7B7C11C8" w14:textId="78C5B5D9" w:rsidR="004A1BC5" w:rsidRDefault="004A1BC5" w:rsidP="004A1BC5"/>
    <w:p w14:paraId="53DE3E64" w14:textId="75DB848F" w:rsidR="004A1BC5" w:rsidRPr="00053450" w:rsidRDefault="008403CF" w:rsidP="00053450">
      <w:pPr>
        <w:pStyle w:val="ListParagraph"/>
        <w:numPr>
          <w:ilvl w:val="0"/>
          <w:numId w:val="11"/>
        </w:numPr>
        <w:rPr>
          <w:b/>
          <w:bCs/>
        </w:rPr>
      </w:pPr>
      <w:r w:rsidRPr="00053450">
        <w:rPr>
          <w:b/>
          <w:bCs/>
        </w:rPr>
        <w:t>Write the key features of public sector</w:t>
      </w:r>
      <w:r w:rsidR="00753A28" w:rsidRPr="00053450">
        <w:rPr>
          <w:b/>
          <w:bCs/>
        </w:rPr>
        <w:t xml:space="preserve"> schemes.</w:t>
      </w:r>
    </w:p>
    <w:p w14:paraId="74091078" w14:textId="2B7601E7" w:rsidR="00753A28" w:rsidRDefault="00753A28" w:rsidP="00753A28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5BCFADCD" w14:textId="2B495B48" w:rsidR="009E4BD6" w:rsidRDefault="009E4BD6" w:rsidP="00053450">
      <w:pPr>
        <w:ind w:firstLine="360"/>
      </w:pPr>
      <w:r>
        <w:t>Answer should include 5 of the following:</w:t>
      </w:r>
    </w:p>
    <w:p w14:paraId="383FA1C3" w14:textId="589BDA52" w:rsidR="009E4BD6" w:rsidRDefault="009E4BD6" w:rsidP="009E4BD6">
      <w:pPr>
        <w:pStyle w:val="ListParagraph"/>
        <w:numPr>
          <w:ilvl w:val="0"/>
          <w:numId w:val="5"/>
        </w:numPr>
      </w:pPr>
      <w:r>
        <w:t>Pay-as-you-go system</w:t>
      </w:r>
    </w:p>
    <w:p w14:paraId="6E135267" w14:textId="146EC455" w:rsidR="00BA3B30" w:rsidRDefault="00BA3B30" w:rsidP="009E4BD6">
      <w:pPr>
        <w:pStyle w:val="ListParagraph"/>
        <w:numPr>
          <w:ilvl w:val="0"/>
          <w:numId w:val="5"/>
        </w:numPr>
      </w:pPr>
      <w:r>
        <w:t xml:space="preserve">Pension age historically 60 for both men and women and be earlier. However, </w:t>
      </w:r>
      <w:r w:rsidR="0080602A">
        <w:t xml:space="preserve">increased to 65 for </w:t>
      </w:r>
      <w:r>
        <w:t xml:space="preserve">new entrants from 2006 </w:t>
      </w:r>
    </w:p>
    <w:p w14:paraId="786EA33A" w14:textId="03B4F85A" w:rsidR="0080602A" w:rsidRDefault="0080602A" w:rsidP="009E4BD6">
      <w:pPr>
        <w:pStyle w:val="ListParagraph"/>
        <w:numPr>
          <w:ilvl w:val="0"/>
          <w:numId w:val="5"/>
        </w:numPr>
      </w:pPr>
      <w:r>
        <w:t>Pension is typically 1/80</w:t>
      </w:r>
      <w:r w:rsidRPr="0080602A">
        <w:rPr>
          <w:vertAlign w:val="superscript"/>
        </w:rPr>
        <w:t>th</w:t>
      </w:r>
      <w:r>
        <w:t xml:space="preserve"> of final pay for each year of service</w:t>
      </w:r>
      <w:r w:rsidR="000415BC">
        <w:t xml:space="preserve"> with an additional lump sum of 3/80ths for each year</w:t>
      </w:r>
    </w:p>
    <w:p w14:paraId="50A85369" w14:textId="094C8B94" w:rsidR="000415BC" w:rsidRDefault="000415BC" w:rsidP="009E4BD6">
      <w:pPr>
        <w:pStyle w:val="ListParagraph"/>
        <w:numPr>
          <w:ilvl w:val="0"/>
          <w:numId w:val="5"/>
        </w:numPr>
      </w:pPr>
      <w:r>
        <w:t>Ill health early retirement provisions can be more generous</w:t>
      </w:r>
    </w:p>
    <w:p w14:paraId="5893524E" w14:textId="6C7CEF72" w:rsidR="000415BC" w:rsidRDefault="000415BC" w:rsidP="009E4BD6">
      <w:pPr>
        <w:pStyle w:val="ListParagraph"/>
        <w:numPr>
          <w:ilvl w:val="0"/>
          <w:numId w:val="5"/>
        </w:numPr>
      </w:pPr>
      <w:r>
        <w:t>As a result of the Pensions (Increase) Act 1971</w:t>
      </w:r>
      <w:r w:rsidR="00A16184">
        <w:t>, benefits in many are fully inflation proofed</w:t>
      </w:r>
    </w:p>
    <w:p w14:paraId="0FFAE53F" w14:textId="55EAF954" w:rsidR="00A16184" w:rsidRDefault="002B2ED6" w:rsidP="009E4BD6">
      <w:pPr>
        <w:pStyle w:val="ListParagraph"/>
        <w:numPr>
          <w:ilvl w:val="0"/>
          <w:numId w:val="5"/>
        </w:numPr>
      </w:pPr>
      <w:r>
        <w:t>Transfers of accrued rights are carried out on specified terms under the rules of the Public Sector Transfer Club.</w:t>
      </w:r>
    </w:p>
    <w:p w14:paraId="5F7ECE36" w14:textId="0FE809C1" w:rsidR="002C05AA" w:rsidRDefault="002C05AA" w:rsidP="002C05AA">
      <w:pPr>
        <w:ind w:left="360"/>
      </w:pPr>
      <w:r>
        <w:t>(Relevant section of the manual is Part 4 Chapter 2.3.1)</w:t>
      </w:r>
    </w:p>
    <w:p w14:paraId="53CAF825" w14:textId="2C9E84C6" w:rsidR="002C05AA" w:rsidRDefault="002C05AA" w:rsidP="002C05AA"/>
    <w:p w14:paraId="53FF1F03" w14:textId="3DBC88CE" w:rsidR="00EE370F" w:rsidRPr="00053450" w:rsidRDefault="00EE370F" w:rsidP="00053450">
      <w:pPr>
        <w:pStyle w:val="ListParagraph"/>
        <w:numPr>
          <w:ilvl w:val="0"/>
          <w:numId w:val="11"/>
        </w:numPr>
        <w:rPr>
          <w:b/>
          <w:bCs/>
        </w:rPr>
      </w:pPr>
      <w:r w:rsidRPr="00053450">
        <w:rPr>
          <w:b/>
          <w:bCs/>
        </w:rPr>
        <w:t xml:space="preserve">List 5 </w:t>
      </w:r>
      <w:r w:rsidR="000C33F0" w:rsidRPr="00053450">
        <w:rPr>
          <w:b/>
          <w:bCs/>
        </w:rPr>
        <w:t>considerations that should be taken into account in the design of private sector schemes.</w:t>
      </w:r>
    </w:p>
    <w:p w14:paraId="2E2241B0" w14:textId="5D473FE0" w:rsidR="000C33F0" w:rsidRDefault="000C33F0" w:rsidP="000C33F0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1335684D" w14:textId="77777777" w:rsidR="000C33F0" w:rsidRDefault="000C33F0" w:rsidP="00053450">
      <w:pPr>
        <w:ind w:firstLine="360"/>
      </w:pPr>
      <w:r>
        <w:t>Answer should include 5 of the following:</w:t>
      </w:r>
    </w:p>
    <w:p w14:paraId="116A5855" w14:textId="641273B9" w:rsidR="000C33F0" w:rsidRPr="000C33F0" w:rsidRDefault="000C33F0" w:rsidP="000C33F0">
      <w:pPr>
        <w:pStyle w:val="ListParagraph"/>
        <w:numPr>
          <w:ilvl w:val="0"/>
          <w:numId w:val="10"/>
        </w:numPr>
      </w:pPr>
      <w:r w:rsidRPr="000C33F0">
        <w:t>Pensions tax legislation</w:t>
      </w:r>
    </w:p>
    <w:p w14:paraId="32EE76AB" w14:textId="5EA87CEE" w:rsidR="000C33F0" w:rsidRDefault="00F166A7" w:rsidP="000C33F0">
      <w:pPr>
        <w:pStyle w:val="ListParagraph"/>
        <w:numPr>
          <w:ilvl w:val="0"/>
          <w:numId w:val="10"/>
        </w:numPr>
      </w:pPr>
      <w:r w:rsidRPr="00F166A7">
        <w:t>DWP pensions legislation</w:t>
      </w:r>
    </w:p>
    <w:p w14:paraId="00CD9C71" w14:textId="1EF37B69" w:rsidR="00F166A7" w:rsidRDefault="00F166A7" w:rsidP="000C33F0">
      <w:pPr>
        <w:pStyle w:val="ListParagraph"/>
        <w:numPr>
          <w:ilvl w:val="0"/>
          <w:numId w:val="10"/>
        </w:numPr>
      </w:pPr>
      <w:r>
        <w:t>Other non-pensions UK and EU law such as employment law</w:t>
      </w:r>
    </w:p>
    <w:p w14:paraId="7DD231B9" w14:textId="099BA344" w:rsidR="00F166A7" w:rsidRDefault="0046770D" w:rsidP="000C33F0">
      <w:pPr>
        <w:pStyle w:val="ListParagraph"/>
        <w:numPr>
          <w:ilvl w:val="0"/>
          <w:numId w:val="10"/>
        </w:numPr>
      </w:pPr>
      <w:r>
        <w:t>Contributory or non-contributory</w:t>
      </w:r>
    </w:p>
    <w:p w14:paraId="32D310D7" w14:textId="75CC5A0B" w:rsidR="0046770D" w:rsidRDefault="0046770D" w:rsidP="000C33F0">
      <w:pPr>
        <w:pStyle w:val="ListParagraph"/>
        <w:numPr>
          <w:ilvl w:val="0"/>
          <w:numId w:val="10"/>
        </w:numPr>
      </w:pPr>
      <w:r>
        <w:t>Normal Pension Age to be adopted</w:t>
      </w:r>
    </w:p>
    <w:p w14:paraId="3BA75DBE" w14:textId="1698BA55" w:rsidR="0046770D" w:rsidRDefault="001265D5" w:rsidP="000C33F0">
      <w:pPr>
        <w:pStyle w:val="ListParagraph"/>
        <w:numPr>
          <w:ilvl w:val="0"/>
          <w:numId w:val="10"/>
        </w:numPr>
      </w:pPr>
      <w:r>
        <w:t>Whether t</w:t>
      </w:r>
      <w:r w:rsidR="0046770D">
        <w:t xml:space="preserve">o comply with the automatic enrolment duties </w:t>
      </w:r>
    </w:p>
    <w:p w14:paraId="7C311F33" w14:textId="69ACC1AD" w:rsidR="001265D5" w:rsidRDefault="001265D5" w:rsidP="000C33F0">
      <w:pPr>
        <w:pStyle w:val="ListParagraph"/>
        <w:numPr>
          <w:ilvl w:val="0"/>
          <w:numId w:val="10"/>
        </w:numPr>
      </w:pPr>
      <w:r>
        <w:t>Benefits be uniform or varied</w:t>
      </w:r>
    </w:p>
    <w:p w14:paraId="238EF96B" w14:textId="77777777" w:rsidR="001265D5" w:rsidRPr="00F166A7" w:rsidRDefault="001265D5" w:rsidP="001265D5">
      <w:pPr>
        <w:pStyle w:val="ListParagraph"/>
      </w:pPr>
    </w:p>
    <w:p w14:paraId="7B32365A" w14:textId="1244C529" w:rsidR="001265D5" w:rsidRDefault="001265D5" w:rsidP="001265D5">
      <w:pPr>
        <w:ind w:left="360"/>
      </w:pPr>
      <w:r>
        <w:t>(Relevant section of the manual is Part 4 Chapter 2.3.1)</w:t>
      </w:r>
    </w:p>
    <w:p w14:paraId="483F2925" w14:textId="77777777" w:rsidR="00EE370F" w:rsidRDefault="00EE370F" w:rsidP="00533EC2">
      <w:pPr>
        <w:rPr>
          <w:b/>
          <w:bCs/>
        </w:rPr>
      </w:pPr>
    </w:p>
    <w:p w14:paraId="1A98C87B" w14:textId="0629B7D4" w:rsidR="00633120" w:rsidRPr="00053450" w:rsidRDefault="00533EC2" w:rsidP="00053450">
      <w:pPr>
        <w:pStyle w:val="ListParagraph"/>
        <w:numPr>
          <w:ilvl w:val="0"/>
          <w:numId w:val="11"/>
        </w:numPr>
        <w:rPr>
          <w:b/>
          <w:bCs/>
        </w:rPr>
      </w:pPr>
      <w:r w:rsidRPr="00053450">
        <w:rPr>
          <w:b/>
          <w:bCs/>
        </w:rPr>
        <w:t>Write short notes on master trusts.</w:t>
      </w:r>
    </w:p>
    <w:p w14:paraId="676B57FD" w14:textId="592B79CC" w:rsidR="00B24F93" w:rsidRPr="00533EC2" w:rsidRDefault="00B24F93" w:rsidP="00B24F93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00D1DEA9" w14:textId="77777777" w:rsidR="00533EC2" w:rsidRDefault="00533EC2" w:rsidP="00053450">
      <w:pPr>
        <w:ind w:firstLine="360"/>
      </w:pPr>
      <w:r>
        <w:t>Answer should cover the following:</w:t>
      </w:r>
    </w:p>
    <w:p w14:paraId="326BEE0C" w14:textId="06681579" w:rsidR="002B2ED6" w:rsidRDefault="00533EC2" w:rsidP="00533EC2">
      <w:pPr>
        <w:pStyle w:val="ListParagraph"/>
        <w:numPr>
          <w:ilvl w:val="0"/>
          <w:numId w:val="7"/>
        </w:numPr>
      </w:pPr>
      <w:r>
        <w:t xml:space="preserve">Multi-employer </w:t>
      </w:r>
      <w:r w:rsidR="00470817">
        <w:t>trust-based</w:t>
      </w:r>
      <w:r>
        <w:t xml:space="preserve"> pension scheme</w:t>
      </w:r>
    </w:p>
    <w:p w14:paraId="21A0391B" w14:textId="6AACF22C" w:rsidR="00470817" w:rsidRDefault="00470817" w:rsidP="00533EC2">
      <w:pPr>
        <w:pStyle w:val="ListParagraph"/>
        <w:numPr>
          <w:ilvl w:val="0"/>
          <w:numId w:val="7"/>
        </w:numPr>
      </w:pPr>
      <w:r>
        <w:t>Benefits usually provide on a DC basis</w:t>
      </w:r>
    </w:p>
    <w:p w14:paraId="07D36B6A" w14:textId="5846079B" w:rsidR="00470817" w:rsidRDefault="00470817" w:rsidP="00533EC2">
      <w:pPr>
        <w:pStyle w:val="ListParagraph"/>
        <w:numPr>
          <w:ilvl w:val="0"/>
          <w:numId w:val="7"/>
        </w:numPr>
      </w:pPr>
      <w:r>
        <w:t>A single professional trustee board</w:t>
      </w:r>
      <w:r w:rsidR="000910DA">
        <w:t xml:space="preserve"> that is responsible for administering the scheme, selecting service providers and selecting a range of investment options</w:t>
      </w:r>
    </w:p>
    <w:p w14:paraId="119E9868" w14:textId="1181BB8C" w:rsidR="000B559B" w:rsidRDefault="000B559B" w:rsidP="00533EC2">
      <w:pPr>
        <w:pStyle w:val="ListParagraph"/>
        <w:numPr>
          <w:ilvl w:val="0"/>
          <w:numId w:val="7"/>
        </w:numPr>
      </w:pPr>
      <w:r>
        <w:t>A trust-based structure with some of the benefits of a contract-based scheme in terms of cost savings and a reduced administrative burden for employers</w:t>
      </w:r>
    </w:p>
    <w:p w14:paraId="6892C1AD" w14:textId="77777777" w:rsidR="0013257B" w:rsidRDefault="00CD0E1C" w:rsidP="00533EC2">
      <w:pPr>
        <w:pStyle w:val="ListParagraph"/>
        <w:numPr>
          <w:ilvl w:val="0"/>
          <w:numId w:val="7"/>
        </w:numPr>
      </w:pPr>
      <w:r>
        <w:t>Number of commercial master trusts grew considerably following the introduction of automatic enrolment</w:t>
      </w:r>
      <w:r w:rsidR="0013257B">
        <w:t xml:space="preserve"> which cause some concern. Hence the introduction of the Pension Schemes Act 2017, which created a new authorisation and supervisory regime from 1 October 2018.</w:t>
      </w:r>
    </w:p>
    <w:p w14:paraId="266A0731" w14:textId="77777777" w:rsidR="007D6197" w:rsidRDefault="007D6197" w:rsidP="00533EC2">
      <w:pPr>
        <w:pStyle w:val="ListParagraph"/>
        <w:numPr>
          <w:ilvl w:val="0"/>
          <w:numId w:val="7"/>
        </w:numPr>
      </w:pPr>
      <w:r>
        <w:t>Occupational pension scheme</w:t>
      </w:r>
    </w:p>
    <w:p w14:paraId="270C9746" w14:textId="291410B4" w:rsidR="00AA5E88" w:rsidRDefault="007D6197" w:rsidP="00533EC2">
      <w:pPr>
        <w:pStyle w:val="ListParagraph"/>
        <w:numPr>
          <w:ilvl w:val="0"/>
          <w:numId w:val="7"/>
        </w:numPr>
      </w:pPr>
      <w:r>
        <w:t>Regulator’s code of practice 15 provides supporting guidance</w:t>
      </w:r>
      <w:r w:rsidR="00AA5E88">
        <w:t xml:space="preserve"> on the authorisation and supervision</w:t>
      </w:r>
    </w:p>
    <w:p w14:paraId="3904A7D3" w14:textId="39150932" w:rsidR="000B559B" w:rsidRDefault="00AA5E88" w:rsidP="00533EC2">
      <w:pPr>
        <w:pStyle w:val="ListParagraph"/>
        <w:numPr>
          <w:ilvl w:val="0"/>
          <w:numId w:val="7"/>
        </w:numPr>
      </w:pPr>
      <w:r>
        <w:t>From October 201</w:t>
      </w:r>
      <w:r w:rsidR="00B24F93">
        <w:t>8, existing master trust schemes had a 6-month window to apply to the Regulator for authorisation or wind up.</w:t>
      </w:r>
    </w:p>
    <w:p w14:paraId="04EF54F5" w14:textId="73800A48" w:rsidR="00B24F93" w:rsidRDefault="00B24F93" w:rsidP="00B24F93">
      <w:pPr>
        <w:ind w:left="360"/>
      </w:pPr>
      <w:r>
        <w:t>(Relevant section of the manual is Part 4 Chapter 2.3.2)</w:t>
      </w:r>
    </w:p>
    <w:p w14:paraId="45BD1BC0" w14:textId="03BF64C4" w:rsidR="00403CC4" w:rsidRDefault="00403CC4" w:rsidP="00B24F93">
      <w:pPr>
        <w:rPr>
          <w:b/>
          <w:bCs/>
        </w:rPr>
      </w:pPr>
    </w:p>
    <w:p w14:paraId="60896088" w14:textId="11493D7E" w:rsidR="00D6711E" w:rsidRDefault="00D6711E" w:rsidP="00B24F93">
      <w:pPr>
        <w:rPr>
          <w:b/>
          <w:bCs/>
        </w:rPr>
      </w:pPr>
    </w:p>
    <w:p w14:paraId="41C8B675" w14:textId="4C0C7C5F" w:rsidR="00D6711E" w:rsidRDefault="00D6711E" w:rsidP="00B24F93">
      <w:pPr>
        <w:rPr>
          <w:b/>
          <w:bCs/>
        </w:rPr>
      </w:pPr>
    </w:p>
    <w:p w14:paraId="160C287F" w14:textId="6B7A5DC3" w:rsidR="00D6711E" w:rsidRDefault="00D6711E" w:rsidP="00B24F93">
      <w:pPr>
        <w:rPr>
          <w:b/>
          <w:bCs/>
        </w:rPr>
      </w:pPr>
    </w:p>
    <w:p w14:paraId="506BE292" w14:textId="77777777" w:rsidR="00D6711E" w:rsidRDefault="00D6711E" w:rsidP="00B24F93">
      <w:pPr>
        <w:rPr>
          <w:b/>
          <w:bCs/>
        </w:rPr>
      </w:pPr>
    </w:p>
    <w:p w14:paraId="12175090" w14:textId="7E88556C" w:rsidR="00B24F93" w:rsidRPr="00053450" w:rsidRDefault="00851074" w:rsidP="00053450">
      <w:pPr>
        <w:pStyle w:val="ListParagraph"/>
        <w:numPr>
          <w:ilvl w:val="0"/>
          <w:numId w:val="11"/>
        </w:numPr>
        <w:rPr>
          <w:b/>
          <w:bCs/>
        </w:rPr>
      </w:pPr>
      <w:r w:rsidRPr="00053450">
        <w:rPr>
          <w:b/>
          <w:bCs/>
        </w:rPr>
        <w:t>What is a SIPP?</w:t>
      </w:r>
    </w:p>
    <w:p w14:paraId="58431067" w14:textId="068839ED" w:rsidR="00851074" w:rsidRDefault="00851074" w:rsidP="00851074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5E563B02" w14:textId="77777777" w:rsidR="00851074" w:rsidRDefault="00851074" w:rsidP="00053450">
      <w:pPr>
        <w:ind w:firstLine="360"/>
      </w:pPr>
      <w:r>
        <w:t>Answer should cover the following:</w:t>
      </w:r>
    </w:p>
    <w:p w14:paraId="6CAB441E" w14:textId="0F5A67F0" w:rsidR="00851074" w:rsidRDefault="00851074" w:rsidP="00851074">
      <w:pPr>
        <w:pStyle w:val="ListParagraph"/>
        <w:numPr>
          <w:ilvl w:val="0"/>
          <w:numId w:val="8"/>
        </w:numPr>
      </w:pPr>
      <w:r>
        <w:t>Self-Invested Personal Pension</w:t>
      </w:r>
    </w:p>
    <w:p w14:paraId="1A522148" w14:textId="50EE8126" w:rsidR="00851074" w:rsidRDefault="000621B1" w:rsidP="00851074">
      <w:pPr>
        <w:pStyle w:val="ListParagraph"/>
        <w:numPr>
          <w:ilvl w:val="0"/>
          <w:numId w:val="8"/>
        </w:numPr>
      </w:pPr>
      <w:r>
        <w:t>Member can select the scheme’s investments</w:t>
      </w:r>
    </w:p>
    <w:p w14:paraId="68DD7528" w14:textId="4F8CDF2B" w:rsidR="000621B1" w:rsidRDefault="000621B1" w:rsidP="00851074">
      <w:pPr>
        <w:pStyle w:val="ListParagraph"/>
        <w:numPr>
          <w:ilvl w:val="0"/>
          <w:numId w:val="8"/>
        </w:numPr>
      </w:pPr>
      <w:r>
        <w:t>More attractive to those who want control over their investments</w:t>
      </w:r>
    </w:p>
    <w:p w14:paraId="6A5A5893" w14:textId="7D46D6E6" w:rsidR="000621B1" w:rsidRDefault="000621B1" w:rsidP="00851074">
      <w:pPr>
        <w:pStyle w:val="ListParagraph"/>
        <w:numPr>
          <w:ilvl w:val="0"/>
          <w:numId w:val="8"/>
        </w:numPr>
      </w:pPr>
      <w:r>
        <w:t>Invest in a wide range of investments</w:t>
      </w:r>
    </w:p>
    <w:p w14:paraId="21AF3E14" w14:textId="6CB8F32A" w:rsidR="00696410" w:rsidRDefault="00696410" w:rsidP="00851074">
      <w:pPr>
        <w:pStyle w:val="ListParagraph"/>
        <w:numPr>
          <w:ilvl w:val="0"/>
          <w:numId w:val="8"/>
        </w:numPr>
      </w:pPr>
      <w:r>
        <w:t>Contributions count towards an individual’s annual and lifetime allowances</w:t>
      </w:r>
    </w:p>
    <w:p w14:paraId="73FBECD2" w14:textId="55DFE80F" w:rsidR="00053450" w:rsidRDefault="00696410" w:rsidP="00D6711E">
      <w:pPr>
        <w:ind w:left="360"/>
      </w:pPr>
      <w:r>
        <w:t>(Relevant section of the manual is Part 4 Chapter 2.3.7)</w:t>
      </w:r>
    </w:p>
    <w:p w14:paraId="3614180A" w14:textId="77777777" w:rsidR="00053450" w:rsidRDefault="00053450" w:rsidP="00696410"/>
    <w:p w14:paraId="36528B22" w14:textId="1DC41A7F" w:rsidR="00696410" w:rsidRPr="00053450" w:rsidRDefault="008360B7" w:rsidP="00053450">
      <w:pPr>
        <w:pStyle w:val="ListParagraph"/>
        <w:numPr>
          <w:ilvl w:val="0"/>
          <w:numId w:val="11"/>
        </w:numPr>
        <w:rPr>
          <w:b/>
          <w:bCs/>
        </w:rPr>
      </w:pPr>
      <w:r w:rsidRPr="00053450">
        <w:rPr>
          <w:b/>
          <w:bCs/>
        </w:rPr>
        <w:t>Outline the differences in risk associated with trust-based schemes and contract-based schemes.</w:t>
      </w:r>
    </w:p>
    <w:p w14:paraId="314EE058" w14:textId="710A579C" w:rsidR="008360B7" w:rsidRPr="008360B7" w:rsidRDefault="008360B7" w:rsidP="008360B7">
      <w:pPr>
        <w:jc w:val="right"/>
        <w:rPr>
          <w:b/>
          <w:bCs/>
        </w:rPr>
      </w:pPr>
      <w:r w:rsidRPr="008360B7">
        <w:rPr>
          <w:b/>
          <w:bCs/>
        </w:rPr>
        <w:t>5 Marks</w:t>
      </w:r>
    </w:p>
    <w:p w14:paraId="7F13D881" w14:textId="1B6B8800" w:rsidR="008360B7" w:rsidRDefault="008360B7" w:rsidP="00053450">
      <w:pPr>
        <w:ind w:firstLine="720"/>
      </w:pPr>
      <w:r>
        <w:t>Answer should cover the following:</w:t>
      </w:r>
    </w:p>
    <w:p w14:paraId="074D1C61" w14:textId="1DE46624" w:rsidR="004E576B" w:rsidRPr="004E576B" w:rsidRDefault="004E576B" w:rsidP="00053450">
      <w:pPr>
        <w:ind w:firstLine="360"/>
        <w:rPr>
          <w:u w:val="single"/>
        </w:rPr>
      </w:pPr>
      <w:r w:rsidRPr="004E576B">
        <w:rPr>
          <w:u w:val="single"/>
        </w:rPr>
        <w:t>Trust-based schemes:</w:t>
      </w:r>
    </w:p>
    <w:p w14:paraId="34CFF1C3" w14:textId="5731307B" w:rsidR="008360B7" w:rsidRDefault="004E576B" w:rsidP="008360B7">
      <w:pPr>
        <w:pStyle w:val="ListParagraph"/>
        <w:numPr>
          <w:ilvl w:val="0"/>
          <w:numId w:val="9"/>
        </w:numPr>
      </w:pPr>
      <w:r>
        <w:t>P</w:t>
      </w:r>
      <w:r w:rsidR="008360B7">
        <w:t>erceived as higher risk due to the higher administrative burden and the legal requirements the trustees are subject to.</w:t>
      </w:r>
    </w:p>
    <w:p w14:paraId="1870F304" w14:textId="627AF249" w:rsidR="008360B7" w:rsidRDefault="004E576B" w:rsidP="008360B7">
      <w:pPr>
        <w:pStyle w:val="ListParagraph"/>
        <w:numPr>
          <w:ilvl w:val="0"/>
          <w:numId w:val="9"/>
        </w:numPr>
      </w:pPr>
      <w:r>
        <w:t>E</w:t>
      </w:r>
      <w:r w:rsidR="00B37C1B">
        <w:t>ffectively employer branded, any member dissatisfaction could have an effect on the company’s reputation</w:t>
      </w:r>
    </w:p>
    <w:p w14:paraId="21B2775F" w14:textId="7B05C184" w:rsidR="004E576B" w:rsidRDefault="000F443B" w:rsidP="004E576B">
      <w:pPr>
        <w:pStyle w:val="ListParagraph"/>
        <w:numPr>
          <w:ilvl w:val="0"/>
          <w:numId w:val="9"/>
        </w:numPr>
      </w:pPr>
      <w:r>
        <w:t>Lead to personal liability for the trustees</w:t>
      </w:r>
    </w:p>
    <w:p w14:paraId="04A46E6E" w14:textId="1123BAB8" w:rsidR="004E576B" w:rsidRPr="004E576B" w:rsidRDefault="004E576B" w:rsidP="004E576B">
      <w:pPr>
        <w:spacing w:after="0"/>
        <w:ind w:left="360"/>
        <w:rPr>
          <w:u w:val="single"/>
        </w:rPr>
      </w:pPr>
      <w:r w:rsidRPr="004E576B">
        <w:rPr>
          <w:u w:val="single"/>
        </w:rPr>
        <w:t>Contract-based schemes:</w:t>
      </w:r>
    </w:p>
    <w:p w14:paraId="1281D217" w14:textId="223584DD" w:rsidR="000F443B" w:rsidRDefault="004E576B" w:rsidP="004E576B">
      <w:pPr>
        <w:pStyle w:val="ListParagraph"/>
        <w:numPr>
          <w:ilvl w:val="0"/>
          <w:numId w:val="9"/>
        </w:numPr>
        <w:spacing w:after="0"/>
      </w:pPr>
      <w:r>
        <w:t>C</w:t>
      </w:r>
      <w:r w:rsidR="000F443B">
        <w:t>arry a very limited administrative burden for the employer</w:t>
      </w:r>
    </w:p>
    <w:p w14:paraId="1AE200E9" w14:textId="5494E3BD" w:rsidR="000F443B" w:rsidRDefault="000F443B" w:rsidP="008360B7">
      <w:pPr>
        <w:pStyle w:val="ListParagraph"/>
        <w:numPr>
          <w:ilvl w:val="0"/>
          <w:numId w:val="9"/>
        </w:numPr>
      </w:pPr>
      <w:r>
        <w:t>Administration</w:t>
      </w:r>
      <w:r w:rsidR="004E576B">
        <w:t xml:space="preserve"> failures and poor investment performance are more likely to be associated with the provider</w:t>
      </w:r>
    </w:p>
    <w:p w14:paraId="6EF1AC1D" w14:textId="17FC73D5" w:rsidR="004E576B" w:rsidRDefault="004E576B" w:rsidP="008360B7">
      <w:pPr>
        <w:pStyle w:val="ListParagraph"/>
        <w:numPr>
          <w:ilvl w:val="0"/>
          <w:numId w:val="9"/>
        </w:numPr>
      </w:pPr>
      <w:r>
        <w:t>Generally, the provider who is liable for any administration failures</w:t>
      </w:r>
    </w:p>
    <w:p w14:paraId="0E557E4F" w14:textId="77777777" w:rsidR="00696410" w:rsidRPr="00851074" w:rsidRDefault="00696410" w:rsidP="00696410">
      <w:pPr>
        <w:pStyle w:val="ListParagraph"/>
      </w:pPr>
    </w:p>
    <w:p w14:paraId="6758A3B7" w14:textId="69384C76" w:rsidR="004E576B" w:rsidRDefault="004E576B" w:rsidP="004E576B">
      <w:pPr>
        <w:ind w:left="360"/>
      </w:pPr>
      <w:r>
        <w:t>(Relevant section of the manual is Part 4 Chapter 3.4)</w:t>
      </w:r>
    </w:p>
    <w:p w14:paraId="6933D415" w14:textId="77777777" w:rsidR="00753A28" w:rsidRPr="00753A28" w:rsidRDefault="00753A28" w:rsidP="00753A28">
      <w:pPr>
        <w:rPr>
          <w:b/>
          <w:bCs/>
        </w:rPr>
      </w:pPr>
    </w:p>
    <w:p w14:paraId="32F40E3D" w14:textId="77777777" w:rsidR="00C33A6F" w:rsidRPr="001A6BFB" w:rsidRDefault="00C33A6F" w:rsidP="00F74D9D">
      <w:pPr>
        <w:pStyle w:val="ListParagraph"/>
      </w:pPr>
    </w:p>
    <w:sectPr w:rsidR="00C33A6F" w:rsidRPr="001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6C7"/>
    <w:multiLevelType w:val="hybridMultilevel"/>
    <w:tmpl w:val="B90A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888"/>
    <w:multiLevelType w:val="hybridMultilevel"/>
    <w:tmpl w:val="BA32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444"/>
    <w:multiLevelType w:val="hybridMultilevel"/>
    <w:tmpl w:val="EB0A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1DE2"/>
    <w:multiLevelType w:val="hybridMultilevel"/>
    <w:tmpl w:val="2A10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9CF"/>
    <w:multiLevelType w:val="hybridMultilevel"/>
    <w:tmpl w:val="6DF0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5FC"/>
    <w:multiLevelType w:val="hybridMultilevel"/>
    <w:tmpl w:val="D690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559A5"/>
    <w:multiLevelType w:val="hybridMultilevel"/>
    <w:tmpl w:val="C66A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36D"/>
    <w:multiLevelType w:val="hybridMultilevel"/>
    <w:tmpl w:val="E4927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DF2ED5"/>
    <w:multiLevelType w:val="hybridMultilevel"/>
    <w:tmpl w:val="A28C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40F1D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C7AFB"/>
    <w:multiLevelType w:val="hybridMultilevel"/>
    <w:tmpl w:val="71BE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41"/>
    <w:rsid w:val="00035393"/>
    <w:rsid w:val="000415BC"/>
    <w:rsid w:val="000472CD"/>
    <w:rsid w:val="00053450"/>
    <w:rsid w:val="000621B1"/>
    <w:rsid w:val="000910DA"/>
    <w:rsid w:val="000B559B"/>
    <w:rsid w:val="000C33F0"/>
    <w:rsid w:val="000F443B"/>
    <w:rsid w:val="00125097"/>
    <w:rsid w:val="001265D5"/>
    <w:rsid w:val="0013257B"/>
    <w:rsid w:val="0018511C"/>
    <w:rsid w:val="001965E5"/>
    <w:rsid w:val="001A1A65"/>
    <w:rsid w:val="001A6BFB"/>
    <w:rsid w:val="001C502D"/>
    <w:rsid w:val="001E3487"/>
    <w:rsid w:val="002B2ED6"/>
    <w:rsid w:val="002C05AA"/>
    <w:rsid w:val="00403CC4"/>
    <w:rsid w:val="0044785E"/>
    <w:rsid w:val="0046770D"/>
    <w:rsid w:val="00470817"/>
    <w:rsid w:val="00491C06"/>
    <w:rsid w:val="004A1BC5"/>
    <w:rsid w:val="004A1E45"/>
    <w:rsid w:val="004E576B"/>
    <w:rsid w:val="00533EC2"/>
    <w:rsid w:val="0059189F"/>
    <w:rsid w:val="005B570B"/>
    <w:rsid w:val="00633120"/>
    <w:rsid w:val="00682A59"/>
    <w:rsid w:val="00696410"/>
    <w:rsid w:val="00723333"/>
    <w:rsid w:val="00753A28"/>
    <w:rsid w:val="007A38E3"/>
    <w:rsid w:val="007D6197"/>
    <w:rsid w:val="007F6632"/>
    <w:rsid w:val="0080602A"/>
    <w:rsid w:val="008360B7"/>
    <w:rsid w:val="008403CF"/>
    <w:rsid w:val="00851074"/>
    <w:rsid w:val="008D5B21"/>
    <w:rsid w:val="008E73E7"/>
    <w:rsid w:val="00931397"/>
    <w:rsid w:val="009E4BD6"/>
    <w:rsid w:val="00A13441"/>
    <w:rsid w:val="00A16184"/>
    <w:rsid w:val="00A4363E"/>
    <w:rsid w:val="00AA5E88"/>
    <w:rsid w:val="00AE6D67"/>
    <w:rsid w:val="00B24F93"/>
    <w:rsid w:val="00B37C1B"/>
    <w:rsid w:val="00BA3B30"/>
    <w:rsid w:val="00BA5D73"/>
    <w:rsid w:val="00C035F5"/>
    <w:rsid w:val="00C33A6F"/>
    <w:rsid w:val="00C41465"/>
    <w:rsid w:val="00CD0E1C"/>
    <w:rsid w:val="00D641C3"/>
    <w:rsid w:val="00D6711E"/>
    <w:rsid w:val="00D8225B"/>
    <w:rsid w:val="00E80BAA"/>
    <w:rsid w:val="00E97268"/>
    <w:rsid w:val="00EE370F"/>
    <w:rsid w:val="00EE72DD"/>
    <w:rsid w:val="00EF5E24"/>
    <w:rsid w:val="00F13D84"/>
    <w:rsid w:val="00F166A7"/>
    <w:rsid w:val="00F346F8"/>
    <w:rsid w:val="00F74D9D"/>
    <w:rsid w:val="00F83ABC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1282BB"/>
  <w15:chartTrackingRefBased/>
  <w15:docId w15:val="{8EA5A348-9F7A-49D4-B8C7-7AD1D15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711E"/>
    <w:pPr>
      <w:widowControl w:val="0"/>
      <w:autoSpaceDE w:val="0"/>
      <w:autoSpaceDN w:val="0"/>
      <w:spacing w:before="27" w:after="0" w:line="240" w:lineRule="auto"/>
      <w:ind w:left="1054" w:right="2648"/>
      <w:jc w:val="center"/>
      <w:outlineLvl w:val="0"/>
    </w:pPr>
    <w:rPr>
      <w:rFonts w:ascii="Carlito" w:eastAsia="Carlito" w:hAnsi="Carlito" w:cs="Carlito"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11E"/>
    <w:rPr>
      <w:rFonts w:ascii="Carlito" w:eastAsia="Carlito" w:hAnsi="Carlito" w:cs="Carlito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74</cp:revision>
  <dcterms:created xsi:type="dcterms:W3CDTF">2021-10-18T15:34:00Z</dcterms:created>
  <dcterms:modified xsi:type="dcterms:W3CDTF">2021-11-16T15:14:00Z</dcterms:modified>
</cp:coreProperties>
</file>