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895F" w14:textId="2AFB5E16" w:rsidR="00B03804" w:rsidRPr="009744D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9744D9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9744D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9744D9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12E68FFD" w14:textId="77777777" w:rsidR="009744D9" w:rsidRDefault="009744D9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bookmarkStart w:id="0" w:name="_Hlk61793546"/>
    </w:p>
    <w:p w14:paraId="03EA76B8" w14:textId="4A7C055D" w:rsidR="00B03804" w:rsidRPr="009744D9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9744D9">
        <w:rPr>
          <w:rFonts w:ascii="Neue Haas Grotesk Text Pro" w:hAnsi="Neue Haas Grotesk Text Pro"/>
          <w:sz w:val="28"/>
          <w:szCs w:val="28"/>
        </w:rPr>
        <w:t xml:space="preserve">Assignment </w:t>
      </w:r>
      <w:r w:rsidR="004E2CC1" w:rsidRPr="009744D9">
        <w:rPr>
          <w:rFonts w:ascii="Neue Haas Grotesk Text Pro" w:hAnsi="Neue Haas Grotesk Text Pro"/>
          <w:sz w:val="28"/>
          <w:szCs w:val="28"/>
        </w:rPr>
        <w:t>3</w:t>
      </w:r>
    </w:p>
    <w:p w14:paraId="54D925F8" w14:textId="0815DB8D" w:rsidR="00B03804" w:rsidRPr="009744D9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bookmarkStart w:id="1" w:name="_Hlk61793798"/>
      <w:r w:rsidRPr="009744D9">
        <w:rPr>
          <w:rFonts w:ascii="Neue Haas Grotesk Text Pro" w:hAnsi="Neue Haas Grotesk Text Pro"/>
          <w:i/>
          <w:iCs/>
          <w:sz w:val="18"/>
          <w:szCs w:val="18"/>
        </w:rPr>
        <w:t>(Part</w:t>
      </w:r>
      <w:r w:rsidR="004E2CC1" w:rsidRPr="009744D9">
        <w:rPr>
          <w:rFonts w:ascii="Neue Haas Grotesk Text Pro" w:hAnsi="Neue Haas Grotesk Text Pro"/>
          <w:i/>
          <w:iCs/>
          <w:sz w:val="18"/>
          <w:szCs w:val="18"/>
        </w:rPr>
        <w:t xml:space="preserve"> 3</w:t>
      </w:r>
      <w:r w:rsidRPr="009744D9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4E2CC1" w:rsidRPr="009744D9">
        <w:rPr>
          <w:rFonts w:ascii="Neue Haas Grotesk Text Pro" w:hAnsi="Neue Haas Grotesk Text Pro"/>
          <w:i/>
          <w:iCs/>
          <w:sz w:val="18"/>
          <w:szCs w:val="18"/>
        </w:rPr>
        <w:t>Defined Benefit Finance and Investment and Part 4 – Defined Contribution Finance and Investment</w:t>
      </w:r>
      <w:r w:rsidRPr="009744D9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bookmarkEnd w:id="0"/>
    <w:bookmarkEnd w:id="1"/>
    <w:p w14:paraId="410E4105" w14:textId="482336AC" w:rsidR="00D144F7" w:rsidRPr="009744D9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9744D9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09F530B1" w14:textId="77777777" w:rsidR="00A105F5" w:rsidRPr="009744D9" w:rsidRDefault="00A105F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03BA7263" w14:textId="6DF9EDC5" w:rsidR="00A15203" w:rsidRPr="009744D9" w:rsidRDefault="00DE6719" w:rsidP="00B51132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2" w:name="_Hlk61783580"/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Explain the features of a buy-in and a buy-out, and how </w:t>
      </w:r>
      <w:proofErr w:type="gramStart"/>
      <w:r w:rsidRPr="009744D9">
        <w:rPr>
          <w:rFonts w:ascii="Neue Haas Grotesk Text Pro" w:hAnsi="Neue Haas Grotesk Text Pro"/>
          <w:b/>
          <w:bCs/>
          <w:sz w:val="18"/>
          <w:szCs w:val="18"/>
        </w:rPr>
        <w:t>both of these</w:t>
      </w:r>
      <w:proofErr w:type="gramEnd"/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 impact various risks to which a pension scheme may be exposed.</w:t>
      </w:r>
      <w:r w:rsidR="00A15203"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</w:p>
    <w:bookmarkEnd w:id="2"/>
    <w:p w14:paraId="03FFC31A" w14:textId="15995801" w:rsidR="00C006F2" w:rsidRPr="009744D9" w:rsidRDefault="00C006F2" w:rsidP="009744D9">
      <w:pPr>
        <w:spacing w:after="0"/>
        <w:ind w:firstLine="360"/>
        <w:jc w:val="right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E6719" w:rsidRPr="009744D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Pr="009744D9">
        <w:rPr>
          <w:rFonts w:ascii="Neue Haas Grotesk Text Pro" w:hAnsi="Neue Haas Grotesk Text Pro"/>
          <w:sz w:val="18"/>
          <w:szCs w:val="18"/>
        </w:rPr>
        <w:t xml:space="preserve">     </w:t>
      </w:r>
    </w:p>
    <w:p w14:paraId="36D1EDA3" w14:textId="77777777" w:rsidR="00A105F5" w:rsidRPr="009744D9" w:rsidRDefault="00A105F5" w:rsidP="00A105F5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1E044A87" w14:textId="77777777" w:rsidR="00A105F5" w:rsidRPr="009744D9" w:rsidRDefault="00A105F5" w:rsidP="00A105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Relevant section of the manual is Part 3 Chapter 2.7.</w:t>
      </w:r>
    </w:p>
    <w:p w14:paraId="05EC643C" w14:textId="6AB75C20" w:rsidR="00C006F2" w:rsidRPr="009744D9" w:rsidRDefault="00C006F2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Format: descriptive</w:t>
      </w:r>
    </w:p>
    <w:p w14:paraId="58CE1694" w14:textId="77777777" w:rsidR="00C006F2" w:rsidRPr="009744D9" w:rsidRDefault="00C006F2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Answer should cover:</w:t>
      </w:r>
    </w:p>
    <w:p w14:paraId="283F527D" w14:textId="1E5E40BB" w:rsidR="00DE6719" w:rsidRPr="009744D9" w:rsidRDefault="00DE6719" w:rsidP="00B51132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Buy-in – scheme invests in bulk annuity, members remain scheme members, insurer pays scheme, scheme pays member benefits</w:t>
      </w:r>
    </w:p>
    <w:p w14:paraId="3480C195" w14:textId="5EB1A74A" w:rsidR="00DE6719" w:rsidRPr="009744D9" w:rsidRDefault="00DE6719" w:rsidP="00B51132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Buy-out – annuities purchased in member’s names, scheme membership ceases, wind-up</w:t>
      </w:r>
    </w:p>
    <w:p w14:paraId="01DCA0F7" w14:textId="77777777" w:rsidR="00DE6719" w:rsidRPr="009744D9" w:rsidRDefault="00DE6719" w:rsidP="00B51132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Risks reduced/removed by insuring them</w:t>
      </w:r>
    </w:p>
    <w:p w14:paraId="75452239" w14:textId="1FB7E5DA" w:rsidR="00C006F2" w:rsidRPr="009744D9" w:rsidRDefault="00DE6719" w:rsidP="00B51132">
      <w:pPr>
        <w:pStyle w:val="ListParagraph"/>
        <w:numPr>
          <w:ilvl w:val="0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Longevity risk, inflation risk, interest rate risk</w:t>
      </w:r>
    </w:p>
    <w:p w14:paraId="75274BE2" w14:textId="1BF290B3" w:rsidR="00A15203" w:rsidRPr="009744D9" w:rsidRDefault="00A15203" w:rsidP="00B51132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6B37E84" w14:textId="25C7F1D8" w:rsidR="00747ECC" w:rsidRPr="009744D9" w:rsidRDefault="00747ECC" w:rsidP="00B51132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>List some of the key advantages and disadvantages of:</w:t>
      </w:r>
    </w:p>
    <w:p w14:paraId="7F0951D6" w14:textId="77777777" w:rsidR="00747ECC" w:rsidRPr="009744D9" w:rsidRDefault="00747ECC" w:rsidP="00B51132">
      <w:pPr>
        <w:pStyle w:val="ListParagraph"/>
        <w:numPr>
          <w:ilvl w:val="0"/>
          <w:numId w:val="2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Using DC benefits to purchase an annuity </w:t>
      </w:r>
      <w:proofErr w:type="spellStart"/>
      <w:r w:rsidRPr="009744D9">
        <w:rPr>
          <w:rFonts w:ascii="Neue Haas Grotesk Text Pro" w:hAnsi="Neue Haas Grotesk Text Pro"/>
          <w:b/>
          <w:bCs/>
          <w:sz w:val="18"/>
          <w:szCs w:val="18"/>
        </w:rPr>
        <w:t>annuity</w:t>
      </w:r>
      <w:proofErr w:type="spellEnd"/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 at retirement</w:t>
      </w:r>
    </w:p>
    <w:p w14:paraId="23956E50" w14:textId="77777777" w:rsidR="00747ECC" w:rsidRPr="009744D9" w:rsidRDefault="00747ECC" w:rsidP="00B51132">
      <w:pPr>
        <w:pStyle w:val="ListParagraph"/>
        <w:numPr>
          <w:ilvl w:val="0"/>
          <w:numId w:val="2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>Drawing down DC benefits at retirement</w:t>
      </w:r>
    </w:p>
    <w:p w14:paraId="746EEF06" w14:textId="77777777" w:rsidR="00747ECC" w:rsidRPr="009744D9" w:rsidRDefault="00747ECC" w:rsidP="009744D9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16318B4D" w14:textId="77777777" w:rsidR="00B51132" w:rsidRDefault="00B51132" w:rsidP="00B51132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36BFD00" w14:textId="2379E421" w:rsidR="00A105F5" w:rsidRPr="009744D9" w:rsidRDefault="00A105F5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Relevant section of the manual is Part 4 Chapter 2.3.</w:t>
      </w:r>
    </w:p>
    <w:p w14:paraId="2B9C5BF6" w14:textId="77777777" w:rsidR="00A105F5" w:rsidRPr="009744D9" w:rsidRDefault="00747ECC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Format: bulleted list</w:t>
      </w:r>
    </w:p>
    <w:p w14:paraId="1E85DCA2" w14:textId="72D9E112" w:rsidR="00747ECC" w:rsidRPr="009744D9" w:rsidRDefault="00747ECC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Answer should cover:</w:t>
      </w:r>
    </w:p>
    <w:p w14:paraId="106DE50F" w14:textId="77777777" w:rsidR="00747ECC" w:rsidRPr="009744D9" w:rsidRDefault="00747ECC" w:rsidP="00B51132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Value for money</w:t>
      </w:r>
    </w:p>
    <w:p w14:paraId="62F91862" w14:textId="77777777" w:rsidR="00747ECC" w:rsidRPr="009744D9" w:rsidRDefault="00747ECC" w:rsidP="00B51132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Guarantee of income</w:t>
      </w:r>
    </w:p>
    <w:p w14:paraId="092960B0" w14:textId="77777777" w:rsidR="00747ECC" w:rsidRPr="009744D9" w:rsidRDefault="00747ECC" w:rsidP="00B51132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Impact of longevity</w:t>
      </w:r>
    </w:p>
    <w:p w14:paraId="136F07CC" w14:textId="77777777" w:rsidR="00747ECC" w:rsidRPr="009744D9" w:rsidRDefault="00747ECC" w:rsidP="00B51132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Investment risk</w:t>
      </w:r>
    </w:p>
    <w:p w14:paraId="19D06DEC" w14:textId="77777777" w:rsidR="00747ECC" w:rsidRPr="009744D9" w:rsidRDefault="00747ECC" w:rsidP="00B51132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706B6176" w14:textId="3A8CDD3B" w:rsidR="007367B0" w:rsidRPr="009744D9" w:rsidRDefault="006A6474" w:rsidP="00B51132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bookmarkStart w:id="3" w:name="_Hlk66962843"/>
      <w:r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The goal of all DB pension schemes is to achieve self-sufficiency, known as the Long Term Objective (LTO). </w:t>
      </w:r>
      <w:r w:rsidR="007367B0"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</w:t>
      </w:r>
      <w:r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Briefly outline the following</w:t>
      </w:r>
      <w:r w:rsidR="007367B0"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:</w:t>
      </w:r>
    </w:p>
    <w:p w14:paraId="6CBC64A0" w14:textId="5A47A288" w:rsidR="007367B0" w:rsidRPr="007D6240" w:rsidRDefault="007D6240" w:rsidP="00B51132">
      <w:pPr>
        <w:numPr>
          <w:ilvl w:val="0"/>
          <w:numId w:val="19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bookmarkStart w:id="4" w:name="_Hlk66963213"/>
      <w:r w:rsidRPr="007D6240">
        <w:rPr>
          <w:b/>
          <w:bCs/>
        </w:rPr>
        <w:t>The three main options available to trustees when deciding how a scheme can achieve its LTO</w:t>
      </w:r>
    </w:p>
    <w:bookmarkEnd w:id="4"/>
    <w:p w14:paraId="05CA6532" w14:textId="6170D62A" w:rsidR="007367B0" w:rsidRPr="007D6240" w:rsidRDefault="006A6474" w:rsidP="00B51132">
      <w:pPr>
        <w:numPr>
          <w:ilvl w:val="0"/>
          <w:numId w:val="19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7D6240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The level of investment risk that would apply to the LTO </w:t>
      </w:r>
    </w:p>
    <w:bookmarkEnd w:id="3"/>
    <w:p w14:paraId="4098E45D" w14:textId="212D0521" w:rsidR="007367B0" w:rsidRPr="009744D9" w:rsidRDefault="007367B0" w:rsidP="009744D9">
      <w:pPr>
        <w:spacing w:after="0"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D0327B"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0</w:t>
      </w:r>
      <w:r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9744D9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</w:p>
    <w:p w14:paraId="61CD6F20" w14:textId="77777777" w:rsidR="00A105F5" w:rsidRPr="009744D9" w:rsidRDefault="00A105F5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Relevant section of the manual is Part 3 Chapters 1.2 and 3.3.</w:t>
      </w:r>
    </w:p>
    <w:p w14:paraId="1127E9DB" w14:textId="06E46F2E" w:rsidR="001217DA" w:rsidRPr="009744D9" w:rsidRDefault="001217DA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Format: </w:t>
      </w:r>
      <w:r w:rsidR="007367B0" w:rsidRPr="009744D9">
        <w:rPr>
          <w:rFonts w:ascii="Neue Haas Grotesk Text Pro" w:hAnsi="Neue Haas Grotesk Text Pro"/>
          <w:sz w:val="18"/>
          <w:szCs w:val="18"/>
        </w:rPr>
        <w:t>explain/describe</w:t>
      </w:r>
    </w:p>
    <w:p w14:paraId="5B916ADF" w14:textId="0E79E915" w:rsidR="0096398D" w:rsidRPr="009744D9" w:rsidRDefault="0096398D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Answer should cover:</w:t>
      </w:r>
    </w:p>
    <w:p w14:paraId="524B83C4" w14:textId="05BAEEB6" w:rsidR="00472B82" w:rsidRPr="009744D9" w:rsidRDefault="00D0327B" w:rsidP="00B51132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Scheme continues on a self-sufficiency basis</w:t>
      </w:r>
    </w:p>
    <w:p w14:paraId="0F04CC3A" w14:textId="092D385F" w:rsidR="001556E4" w:rsidRPr="009744D9" w:rsidRDefault="00D0327B" w:rsidP="00B51132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Buy-out – transferring the liabilities to an insurer</w:t>
      </w:r>
    </w:p>
    <w:p w14:paraId="26D85387" w14:textId="5F44D588" w:rsidR="00D0327B" w:rsidRPr="009744D9" w:rsidRDefault="00D0327B" w:rsidP="00B51132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Pension superfund</w:t>
      </w:r>
    </w:p>
    <w:p w14:paraId="333C7516" w14:textId="791B687B" w:rsidR="00193DCC" w:rsidRDefault="00D0327B" w:rsidP="00B51132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Low level of investment risk, reducing over time to help achieve the LTO </w:t>
      </w:r>
    </w:p>
    <w:p w14:paraId="2B8436D0" w14:textId="77777777" w:rsidR="009C51D7" w:rsidRPr="009744D9" w:rsidRDefault="009C51D7" w:rsidP="009C51D7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306F9E3B" w14:textId="17CAD0F7" w:rsidR="009505EC" w:rsidRPr="009744D9" w:rsidRDefault="00747ECC" w:rsidP="00B51132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9744D9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lastRenderedPageBreak/>
        <w:t>List 5 options available to DC members age 55 or over under the Pension Freedoms.</w:t>
      </w:r>
    </w:p>
    <w:p w14:paraId="7B316DFA" w14:textId="113E70CB" w:rsidR="009505EC" w:rsidRPr="009744D9" w:rsidRDefault="00B51132" w:rsidP="00B51132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</w:t>
      </w:r>
      <w:r w:rsidR="009505EC" w:rsidRPr="009744D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3267873" w14:textId="6D7B21F0" w:rsidR="00A105F5" w:rsidRPr="009744D9" w:rsidRDefault="00A105F5" w:rsidP="00A105F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71F3D102" w14:textId="77777777" w:rsidR="00A105F5" w:rsidRPr="009744D9" w:rsidRDefault="00A105F5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Relevant section of the manual is Part 4 Chapter 2.1.</w:t>
      </w:r>
    </w:p>
    <w:p w14:paraId="3255181E" w14:textId="0AD04652" w:rsidR="009505EC" w:rsidRPr="009744D9" w:rsidRDefault="009505EC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Format: </w:t>
      </w:r>
      <w:r w:rsidR="00747ECC" w:rsidRPr="009744D9">
        <w:rPr>
          <w:rFonts w:ascii="Neue Haas Grotesk Text Pro" w:hAnsi="Neue Haas Grotesk Text Pro"/>
          <w:sz w:val="18"/>
          <w:szCs w:val="18"/>
        </w:rPr>
        <w:t>list</w:t>
      </w:r>
    </w:p>
    <w:p w14:paraId="058AF9F7" w14:textId="5704141E" w:rsidR="009505EC" w:rsidRPr="009744D9" w:rsidRDefault="009505EC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Answer should </w:t>
      </w:r>
      <w:r w:rsidR="00747ECC" w:rsidRPr="009744D9">
        <w:rPr>
          <w:rFonts w:ascii="Neue Haas Grotesk Text Pro" w:hAnsi="Neue Haas Grotesk Text Pro"/>
          <w:sz w:val="18"/>
          <w:szCs w:val="18"/>
        </w:rPr>
        <w:t>list 5 from</w:t>
      </w:r>
      <w:r w:rsidRPr="009744D9">
        <w:rPr>
          <w:rFonts w:ascii="Neue Haas Grotesk Text Pro" w:hAnsi="Neue Haas Grotesk Text Pro"/>
          <w:sz w:val="18"/>
          <w:szCs w:val="18"/>
        </w:rPr>
        <w:t>:</w:t>
      </w:r>
    </w:p>
    <w:p w14:paraId="3FA41BA6" w14:textId="630D290D" w:rsidR="009505E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Annuity purchase</w:t>
      </w:r>
    </w:p>
    <w:p w14:paraId="0AECBD8E" w14:textId="79FD7805" w:rsidR="00747EC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UFPLS</w:t>
      </w:r>
    </w:p>
    <w:p w14:paraId="0BF241EB" w14:textId="178CA4B4" w:rsidR="00747EC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Single lump sum</w:t>
      </w:r>
    </w:p>
    <w:p w14:paraId="6E62C87C" w14:textId="75B77649" w:rsidR="00747EC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Cash to 25% plus flexi-access drawdown</w:t>
      </w:r>
    </w:p>
    <w:p w14:paraId="15C57B82" w14:textId="1A41C296" w:rsidR="009505EC" w:rsidRPr="009744D9" w:rsidRDefault="009505E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Social infrastructure – how it operates, how it is financed</w:t>
      </w:r>
    </w:p>
    <w:p w14:paraId="67D2B5E7" w14:textId="43E37320" w:rsidR="00747EC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Combination of different options</w:t>
      </w:r>
    </w:p>
    <w:p w14:paraId="07C46AF8" w14:textId="281E63C6" w:rsidR="00747ECC" w:rsidRPr="009744D9" w:rsidRDefault="00747ECC" w:rsidP="00B51132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Leave the funds invested </w:t>
      </w:r>
    </w:p>
    <w:p w14:paraId="30E665D8" w14:textId="77777777" w:rsidR="00A105F5" w:rsidRPr="009744D9" w:rsidRDefault="00A105F5" w:rsidP="00B51132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1143B2" w14:textId="5A57653D" w:rsidR="003342F3" w:rsidRPr="009744D9" w:rsidRDefault="00A81A0C" w:rsidP="00B51132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>Briefly outline the considerations when deciding a DC investment strategy, including how the type of scheme affects who decides the strategy and the main fund categories</w:t>
      </w:r>
      <w:r w:rsidR="00B726C9" w:rsidRPr="009744D9">
        <w:rPr>
          <w:rFonts w:ascii="Neue Haas Grotesk Text Pro" w:hAnsi="Neue Haas Grotesk Text Pro"/>
          <w:b/>
          <w:bCs/>
          <w:sz w:val="18"/>
          <w:szCs w:val="18"/>
        </w:rPr>
        <w:t>.</w:t>
      </w:r>
    </w:p>
    <w:p w14:paraId="774173FB" w14:textId="11DDCAD1" w:rsidR="00B726C9" w:rsidRPr="009744D9" w:rsidRDefault="00A81A0C" w:rsidP="009744D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9744D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9744D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9744D9" w:rsidRDefault="00A105F5" w:rsidP="00A105F5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4C0157" w14:textId="77777777" w:rsidR="00A105F5" w:rsidRPr="009744D9" w:rsidRDefault="00A105F5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Relevant section of the manual is Part 4 Chapter 1.2.</w:t>
      </w:r>
    </w:p>
    <w:p w14:paraId="050CA3D3" w14:textId="0BCD5829" w:rsidR="00B726C9" w:rsidRPr="009744D9" w:rsidRDefault="00B726C9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Format: </w:t>
      </w:r>
      <w:r w:rsidR="00A81A0C" w:rsidRPr="009744D9">
        <w:rPr>
          <w:rFonts w:ascii="Neue Haas Grotesk Text Pro" w:hAnsi="Neue Haas Grotesk Text Pro"/>
          <w:sz w:val="18"/>
          <w:szCs w:val="18"/>
        </w:rPr>
        <w:t>descriptive</w:t>
      </w:r>
    </w:p>
    <w:p w14:paraId="615CAE7C" w14:textId="02B4ECB9" w:rsidR="00B726C9" w:rsidRPr="009744D9" w:rsidRDefault="00B726C9" w:rsidP="00B51132">
      <w:p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Answer should cover:</w:t>
      </w:r>
    </w:p>
    <w:p w14:paraId="71EA2A7A" w14:textId="196D8976" w:rsidR="00B726C9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Contract-based schemes</w:t>
      </w:r>
    </w:p>
    <w:p w14:paraId="1F273314" w14:textId="63054067" w:rsidR="00B726C9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Trust-based schemes</w:t>
      </w:r>
    </w:p>
    <w:p w14:paraId="0A512C6D" w14:textId="7D2E1701" w:rsidR="00B726C9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Growth funds</w:t>
      </w:r>
    </w:p>
    <w:p w14:paraId="6C357BB8" w14:textId="2A2E2F2A" w:rsidR="00A81A0C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Defensive funds</w:t>
      </w:r>
    </w:p>
    <w:p w14:paraId="48D4316E" w14:textId="7EDE813B" w:rsidR="00A81A0C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>Balanced funds</w:t>
      </w:r>
    </w:p>
    <w:p w14:paraId="3910B3D0" w14:textId="71FB7E5F" w:rsidR="00A81A0C" w:rsidRPr="009744D9" w:rsidRDefault="00A81A0C" w:rsidP="00B51132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9744D9">
        <w:rPr>
          <w:rFonts w:ascii="Neue Haas Grotesk Text Pro" w:hAnsi="Neue Haas Grotesk Text Pro"/>
          <w:sz w:val="18"/>
          <w:szCs w:val="18"/>
        </w:rPr>
        <w:t xml:space="preserve">Investment risk </w:t>
      </w:r>
    </w:p>
    <w:sectPr w:rsidR="00A81A0C" w:rsidRPr="009744D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044E" w14:textId="77777777" w:rsidR="00CB01C8" w:rsidRDefault="00CB01C8" w:rsidP="009744D9">
      <w:pPr>
        <w:spacing w:after="0" w:line="240" w:lineRule="auto"/>
      </w:pPr>
      <w:r>
        <w:separator/>
      </w:r>
    </w:p>
  </w:endnote>
  <w:endnote w:type="continuationSeparator" w:id="0">
    <w:p w14:paraId="3876ECF3" w14:textId="77777777" w:rsidR="00CB01C8" w:rsidRDefault="00CB01C8" w:rsidP="0097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1BBB" w14:textId="77777777" w:rsidR="00CB01C8" w:rsidRDefault="00CB01C8" w:rsidP="009744D9">
      <w:pPr>
        <w:spacing w:after="0" w:line="240" w:lineRule="auto"/>
      </w:pPr>
      <w:r>
        <w:separator/>
      </w:r>
    </w:p>
  </w:footnote>
  <w:footnote w:type="continuationSeparator" w:id="0">
    <w:p w14:paraId="72F2C698" w14:textId="77777777" w:rsidR="00CB01C8" w:rsidRDefault="00CB01C8" w:rsidP="0097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71E0" w14:textId="4706D827" w:rsidR="009744D9" w:rsidRDefault="009744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9F3BD6" wp14:editId="66CF4986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5"/>
  </w:num>
  <w:num w:numId="14">
    <w:abstractNumId w:val="11"/>
  </w:num>
  <w:num w:numId="15">
    <w:abstractNumId w:val="2"/>
  </w:num>
  <w:num w:numId="16">
    <w:abstractNumId w:val="11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04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2D22A5"/>
    <w:rsid w:val="00327BCE"/>
    <w:rsid w:val="003342F3"/>
    <w:rsid w:val="00335D6C"/>
    <w:rsid w:val="00387A73"/>
    <w:rsid w:val="003A5F49"/>
    <w:rsid w:val="003D7B3C"/>
    <w:rsid w:val="003E7486"/>
    <w:rsid w:val="003F0151"/>
    <w:rsid w:val="00420486"/>
    <w:rsid w:val="00447250"/>
    <w:rsid w:val="00472B82"/>
    <w:rsid w:val="004E2CC1"/>
    <w:rsid w:val="00563A6C"/>
    <w:rsid w:val="00577875"/>
    <w:rsid w:val="00580AC2"/>
    <w:rsid w:val="005839FF"/>
    <w:rsid w:val="005A5350"/>
    <w:rsid w:val="005B301A"/>
    <w:rsid w:val="00626E16"/>
    <w:rsid w:val="0065421F"/>
    <w:rsid w:val="00681D1A"/>
    <w:rsid w:val="006A2CFD"/>
    <w:rsid w:val="006A6474"/>
    <w:rsid w:val="006C79BA"/>
    <w:rsid w:val="006D119B"/>
    <w:rsid w:val="006E3416"/>
    <w:rsid w:val="006F7E46"/>
    <w:rsid w:val="007367B0"/>
    <w:rsid w:val="00747ECC"/>
    <w:rsid w:val="007D6240"/>
    <w:rsid w:val="00850CAE"/>
    <w:rsid w:val="008856D8"/>
    <w:rsid w:val="008B2DB6"/>
    <w:rsid w:val="008B5A87"/>
    <w:rsid w:val="008C0989"/>
    <w:rsid w:val="008E5CA4"/>
    <w:rsid w:val="009130DB"/>
    <w:rsid w:val="00916BB2"/>
    <w:rsid w:val="00931F3D"/>
    <w:rsid w:val="00934B9E"/>
    <w:rsid w:val="009505EC"/>
    <w:rsid w:val="0096398D"/>
    <w:rsid w:val="009744D9"/>
    <w:rsid w:val="00995AC9"/>
    <w:rsid w:val="009B6691"/>
    <w:rsid w:val="009C51D7"/>
    <w:rsid w:val="009F62B5"/>
    <w:rsid w:val="00A105F5"/>
    <w:rsid w:val="00A15203"/>
    <w:rsid w:val="00A179E2"/>
    <w:rsid w:val="00A255BE"/>
    <w:rsid w:val="00A33F1A"/>
    <w:rsid w:val="00A37390"/>
    <w:rsid w:val="00A708A9"/>
    <w:rsid w:val="00A81A0C"/>
    <w:rsid w:val="00AC5AD3"/>
    <w:rsid w:val="00B03804"/>
    <w:rsid w:val="00B51132"/>
    <w:rsid w:val="00B726C9"/>
    <w:rsid w:val="00BB0833"/>
    <w:rsid w:val="00BC5E9C"/>
    <w:rsid w:val="00C006F2"/>
    <w:rsid w:val="00C22A02"/>
    <w:rsid w:val="00C33338"/>
    <w:rsid w:val="00C40339"/>
    <w:rsid w:val="00C67BD1"/>
    <w:rsid w:val="00C970AB"/>
    <w:rsid w:val="00CA204F"/>
    <w:rsid w:val="00CB01C8"/>
    <w:rsid w:val="00CD6E77"/>
    <w:rsid w:val="00CE3EB1"/>
    <w:rsid w:val="00D0327B"/>
    <w:rsid w:val="00D144F7"/>
    <w:rsid w:val="00D14F84"/>
    <w:rsid w:val="00D310BE"/>
    <w:rsid w:val="00D70ED3"/>
    <w:rsid w:val="00DE6719"/>
    <w:rsid w:val="00E17F4B"/>
    <w:rsid w:val="00EB3E84"/>
    <w:rsid w:val="00ED2DAF"/>
    <w:rsid w:val="00EF6BCC"/>
    <w:rsid w:val="00EF7983"/>
    <w:rsid w:val="00F4772D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D9"/>
  </w:style>
  <w:style w:type="paragraph" w:styleId="Footer">
    <w:name w:val="footer"/>
    <w:basedOn w:val="Normal"/>
    <w:link w:val="FooterChar"/>
    <w:uiPriority w:val="99"/>
    <w:unhideWhenUsed/>
    <w:rsid w:val="009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2437235241245805C8F55D9BC5F58" ma:contentTypeVersion="11" ma:contentTypeDescription="Create a new document." ma:contentTypeScope="" ma:versionID="b6ebb3f769c39560ceb8e2adfcb4e2b2">
  <xsd:schema xmlns:xsd="http://www.w3.org/2001/XMLSchema" xmlns:xs="http://www.w3.org/2001/XMLSchema" xmlns:p="http://schemas.microsoft.com/office/2006/metadata/properties" xmlns:ns3="d2b3ee65-5fae-4d20-9d8f-64d34d30fc5a" xmlns:ns4="3befedcc-37dd-4914-8cae-b163890001ae" targetNamespace="http://schemas.microsoft.com/office/2006/metadata/properties" ma:root="true" ma:fieldsID="098138089ec581db4afdf652eb885394" ns3:_="" ns4:_="">
    <xsd:import namespace="d2b3ee65-5fae-4d20-9d8f-64d34d30fc5a"/>
    <xsd:import namespace="3befedcc-37dd-4914-8cae-b16389000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ee65-5fae-4d20-9d8f-64d34d30f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edcc-37dd-4914-8cae-b16389000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B7ADC-8412-42F4-9321-785435449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4BDC-636D-493B-9583-89923768C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FD1B2-E86B-4F34-9E0E-229E75AE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ee65-5fae-4d20-9d8f-64d34d30fc5a"/>
    <ds:schemaRef ds:uri="3befedcc-37dd-4914-8cae-b16389000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Keith Hoodless</cp:lastModifiedBy>
  <cp:revision>2</cp:revision>
  <dcterms:created xsi:type="dcterms:W3CDTF">2021-03-18T13:34:00Z</dcterms:created>
  <dcterms:modified xsi:type="dcterms:W3CDTF">2021-03-18T13:34:00Z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0x010100FD52437235241245805C8F55D9BC5F58</vt:lpwstr>
  </property>
  <property fmtid="{D5CDD505-2E9C-101B-9397-08002B2CF9AE}" pid="3" name="_NewReviewCycle">
    <vt:lpwstr/>
  </property>
</Properties>
</file>