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2540" w14:textId="77777777" w:rsidR="00C344E3" w:rsidRDefault="00C344E3">
      <w:pPr>
        <w:pStyle w:val="BodyText"/>
        <w:rPr>
          <w:rFonts w:ascii="Times New Roman"/>
          <w:sz w:val="20"/>
        </w:rPr>
      </w:pPr>
    </w:p>
    <w:p w14:paraId="18A3C565" w14:textId="77777777" w:rsidR="00C344E3" w:rsidRDefault="00C344E3">
      <w:pPr>
        <w:pStyle w:val="BodyText"/>
        <w:rPr>
          <w:rFonts w:ascii="Times New Roman"/>
          <w:sz w:val="20"/>
        </w:rPr>
      </w:pPr>
    </w:p>
    <w:p w14:paraId="5DD86F8F" w14:textId="77777777" w:rsidR="00C344E3" w:rsidRDefault="00C344E3">
      <w:pPr>
        <w:pStyle w:val="BodyText"/>
        <w:spacing w:before="9"/>
        <w:rPr>
          <w:rFonts w:ascii="Times New Roman"/>
          <w:sz w:val="21"/>
        </w:rPr>
      </w:pPr>
    </w:p>
    <w:p w14:paraId="533C9FCF" w14:textId="77777777" w:rsidR="00C344E3" w:rsidRDefault="00C739BD">
      <w:pPr>
        <w:pStyle w:val="Title"/>
      </w:pPr>
      <w:r>
        <w:t>Core Unit 2 – Regulation of Retirement Provision</w:t>
      </w:r>
    </w:p>
    <w:p w14:paraId="57CBA064" w14:textId="77777777" w:rsidR="00C344E3" w:rsidRDefault="00C739BD">
      <w:pPr>
        <w:spacing w:before="66"/>
        <w:ind w:left="905" w:right="902"/>
        <w:jc w:val="center"/>
        <w:rPr>
          <w:sz w:val="28"/>
        </w:rPr>
      </w:pPr>
      <w:r>
        <w:rPr>
          <w:sz w:val="28"/>
        </w:rPr>
        <w:t>Assignment 3 Notes</w:t>
      </w:r>
    </w:p>
    <w:p w14:paraId="39D4EE27" w14:textId="77777777" w:rsidR="00C344E3" w:rsidRDefault="00C739BD">
      <w:pPr>
        <w:spacing w:before="49"/>
        <w:ind w:left="905" w:right="903"/>
        <w:jc w:val="center"/>
        <w:rPr>
          <w:i/>
          <w:sz w:val="18"/>
        </w:rPr>
      </w:pPr>
      <w:r>
        <w:rPr>
          <w:i/>
          <w:sz w:val="18"/>
        </w:rPr>
        <w:t>(Part 3 – Other Relevant Areas of Law and Part 4 – Corporate Transactions)</w:t>
      </w:r>
    </w:p>
    <w:p w14:paraId="38C10F22" w14:textId="77777777" w:rsidR="00C344E3" w:rsidRDefault="00C344E3">
      <w:pPr>
        <w:pStyle w:val="BodyText"/>
        <w:spacing w:before="8"/>
        <w:rPr>
          <w:i/>
          <w:sz w:val="20"/>
        </w:rPr>
      </w:pPr>
    </w:p>
    <w:p w14:paraId="616E5155" w14:textId="77777777" w:rsidR="00C344E3" w:rsidRDefault="00C739BD">
      <w:pPr>
        <w:spacing w:before="1"/>
        <w:ind w:left="881" w:right="905"/>
        <w:jc w:val="center"/>
        <w:rPr>
          <w:i/>
          <w:sz w:val="16"/>
        </w:rPr>
      </w:pPr>
      <w:r>
        <w:rPr>
          <w:i/>
          <w:sz w:val="16"/>
        </w:rPr>
        <w:t>Recommended Time: 1 Hour</w:t>
      </w:r>
    </w:p>
    <w:p w14:paraId="60331CBE" w14:textId="77777777" w:rsidR="00C344E3" w:rsidRDefault="00C344E3">
      <w:pPr>
        <w:pStyle w:val="BodyText"/>
        <w:rPr>
          <w:i/>
          <w:sz w:val="16"/>
        </w:rPr>
      </w:pPr>
    </w:p>
    <w:p w14:paraId="23E29053" w14:textId="77777777" w:rsidR="00C344E3" w:rsidRDefault="00C344E3">
      <w:pPr>
        <w:pStyle w:val="BodyText"/>
        <w:rPr>
          <w:i/>
          <w:sz w:val="16"/>
        </w:rPr>
      </w:pPr>
    </w:p>
    <w:p w14:paraId="45C777D3" w14:textId="77777777" w:rsidR="00C344E3" w:rsidRDefault="00C344E3">
      <w:pPr>
        <w:pStyle w:val="BodyText"/>
        <w:spacing w:before="10"/>
        <w:rPr>
          <w:i/>
          <w:sz w:val="11"/>
        </w:rPr>
      </w:pPr>
    </w:p>
    <w:p w14:paraId="104CB1EC" w14:textId="77777777" w:rsidR="00C344E3" w:rsidRDefault="00C739BD">
      <w:pPr>
        <w:pStyle w:val="Heading1"/>
        <w:numPr>
          <w:ilvl w:val="0"/>
          <w:numId w:val="4"/>
        </w:numPr>
        <w:tabs>
          <w:tab w:val="left" w:pos="460"/>
          <w:tab w:val="left" w:pos="461"/>
        </w:tabs>
        <w:spacing w:line="276" w:lineRule="auto"/>
        <w:ind w:right="352"/>
      </w:pPr>
      <w:r>
        <w:t>Give an example of when trustees are likely to encounter sensitive personal data and outline four of the data protection principles.</w:t>
      </w:r>
    </w:p>
    <w:p w14:paraId="17CCD11A" w14:textId="067E6FA9" w:rsidR="00C344E3" w:rsidRPr="00EC5327" w:rsidRDefault="00C739BD" w:rsidP="00EC5327">
      <w:pPr>
        <w:spacing w:line="218" w:lineRule="exact"/>
        <w:ind w:right="353"/>
        <w:jc w:val="right"/>
        <w:rPr>
          <w:b/>
          <w:sz w:val="18"/>
        </w:rPr>
      </w:pPr>
      <w:r>
        <w:rPr>
          <w:b/>
          <w:sz w:val="18"/>
        </w:rPr>
        <w:t>5 marks</w:t>
      </w:r>
    </w:p>
    <w:p w14:paraId="277E98CE" w14:textId="77777777" w:rsidR="00C344E3" w:rsidRDefault="00C739BD">
      <w:pPr>
        <w:pStyle w:val="BodyText"/>
        <w:spacing w:before="64"/>
        <w:ind w:left="527"/>
      </w:pPr>
      <w:r>
        <w:t>Answer should cover:</w:t>
      </w:r>
    </w:p>
    <w:p w14:paraId="3EB8DFD1" w14:textId="77777777" w:rsidR="00C344E3" w:rsidRDefault="00C344E3">
      <w:pPr>
        <w:pStyle w:val="BodyText"/>
        <w:spacing w:before="11"/>
        <w:rPr>
          <w:sz w:val="17"/>
        </w:rPr>
      </w:pPr>
    </w:p>
    <w:p w14:paraId="556F2B9E" w14:textId="77777777" w:rsidR="00C344E3" w:rsidRDefault="00C739BD">
      <w:pPr>
        <w:pStyle w:val="BodyText"/>
        <w:spacing w:before="1" w:line="276" w:lineRule="auto"/>
        <w:ind w:left="527" w:right="795" w:hanging="3"/>
      </w:pPr>
      <w:r>
        <w:t>Trustees are most likely to encounter sensitive personal data when reviewing medical records or reports (generally in the context of ill health pension applications)</w:t>
      </w:r>
    </w:p>
    <w:p w14:paraId="24E92C4F" w14:textId="77777777" w:rsidR="00C344E3" w:rsidRDefault="00C344E3">
      <w:pPr>
        <w:pStyle w:val="BodyText"/>
        <w:spacing w:before="8"/>
        <w:rPr>
          <w:sz w:val="20"/>
        </w:rPr>
      </w:pPr>
    </w:p>
    <w:p w14:paraId="2055995C" w14:textId="09DC7AFD" w:rsidR="00C344E3" w:rsidRDefault="00C739BD">
      <w:pPr>
        <w:pStyle w:val="BodyText"/>
        <w:spacing w:before="1"/>
        <w:ind w:left="527"/>
      </w:pPr>
      <w:r>
        <w:t xml:space="preserve">The </w:t>
      </w:r>
      <w:r w:rsidR="003718CB">
        <w:t>six</w:t>
      </w:r>
      <w:r>
        <w:t xml:space="preserve"> principles are broadly as follows:</w:t>
      </w:r>
    </w:p>
    <w:p w14:paraId="0EE91CEA" w14:textId="32C3EF81" w:rsidR="00C344E3" w:rsidRDefault="00C739BD">
      <w:pPr>
        <w:pStyle w:val="ListParagraph"/>
        <w:numPr>
          <w:ilvl w:val="1"/>
          <w:numId w:val="4"/>
        </w:numPr>
        <w:tabs>
          <w:tab w:val="left" w:pos="1518"/>
          <w:tab w:val="left" w:pos="1519"/>
        </w:tabs>
        <w:spacing w:before="32" w:line="273" w:lineRule="auto"/>
        <w:ind w:right="1032"/>
        <w:rPr>
          <w:sz w:val="18"/>
        </w:rPr>
      </w:pPr>
      <w:r>
        <w:rPr>
          <w:sz w:val="18"/>
        </w:rPr>
        <w:t>personal data shall be processed fairly and lawfully (including in certain circumstances a requirement for data subject</w:t>
      </w:r>
      <w:r>
        <w:rPr>
          <w:spacing w:val="-2"/>
          <w:sz w:val="18"/>
        </w:rPr>
        <w:t xml:space="preserve"> </w:t>
      </w:r>
      <w:r>
        <w:rPr>
          <w:sz w:val="18"/>
        </w:rPr>
        <w:t>consent</w:t>
      </w:r>
      <w:r w:rsidR="003718CB">
        <w:rPr>
          <w:sz w:val="18"/>
        </w:rPr>
        <w:t>).</w:t>
      </w:r>
    </w:p>
    <w:p w14:paraId="20070338" w14:textId="09090581" w:rsidR="00C344E3" w:rsidRDefault="00C739BD">
      <w:pPr>
        <w:pStyle w:val="ListParagraph"/>
        <w:numPr>
          <w:ilvl w:val="1"/>
          <w:numId w:val="4"/>
        </w:numPr>
        <w:tabs>
          <w:tab w:val="left" w:pos="1518"/>
          <w:tab w:val="left" w:pos="1519"/>
        </w:tabs>
        <w:spacing w:before="5" w:line="273" w:lineRule="auto"/>
        <w:ind w:right="240"/>
        <w:rPr>
          <w:sz w:val="18"/>
        </w:rPr>
      </w:pPr>
      <w:r>
        <w:rPr>
          <w:sz w:val="18"/>
        </w:rPr>
        <w:t xml:space="preserve">personal data shall be obtained only for one or more specific and lawful </w:t>
      </w:r>
      <w:r w:rsidR="003718CB">
        <w:rPr>
          <w:sz w:val="18"/>
        </w:rPr>
        <w:t>purposes and</w:t>
      </w:r>
      <w:r>
        <w:rPr>
          <w:sz w:val="18"/>
        </w:rPr>
        <w:t xml:space="preserve"> shall not be further processed in a manner which is incompatible with that purpose or</w:t>
      </w:r>
      <w:r>
        <w:rPr>
          <w:spacing w:val="-14"/>
          <w:sz w:val="18"/>
        </w:rPr>
        <w:t xml:space="preserve"> </w:t>
      </w:r>
      <w:r w:rsidR="006C6E78">
        <w:rPr>
          <w:sz w:val="18"/>
        </w:rPr>
        <w:t>purposes.</w:t>
      </w:r>
    </w:p>
    <w:p w14:paraId="48133663" w14:textId="573ADACC" w:rsidR="00C344E3" w:rsidRDefault="00C739BD">
      <w:pPr>
        <w:pStyle w:val="ListParagraph"/>
        <w:numPr>
          <w:ilvl w:val="1"/>
          <w:numId w:val="4"/>
        </w:numPr>
        <w:tabs>
          <w:tab w:val="left" w:pos="1518"/>
          <w:tab w:val="left" w:pos="1519"/>
        </w:tabs>
        <w:spacing w:before="3"/>
        <w:rPr>
          <w:sz w:val="18"/>
        </w:rPr>
      </w:pPr>
      <w:r>
        <w:rPr>
          <w:sz w:val="18"/>
        </w:rPr>
        <w:t xml:space="preserve">personal data shall be adequate, </w:t>
      </w:r>
      <w:r w:rsidR="006C6E78">
        <w:rPr>
          <w:sz w:val="18"/>
        </w:rPr>
        <w:t>relevant,</w:t>
      </w:r>
      <w:r>
        <w:rPr>
          <w:sz w:val="18"/>
        </w:rPr>
        <w:t xml:space="preserve"> and </w:t>
      </w:r>
      <w:r w:rsidR="006C6E78">
        <w:rPr>
          <w:sz w:val="18"/>
        </w:rPr>
        <w:t>limited to what is necessary in relation to the purposes for which they are processed.</w:t>
      </w:r>
    </w:p>
    <w:p w14:paraId="241A52E7" w14:textId="27DAC2F2" w:rsidR="00C344E3" w:rsidRDefault="00C739BD">
      <w:pPr>
        <w:pStyle w:val="ListParagraph"/>
        <w:numPr>
          <w:ilvl w:val="1"/>
          <w:numId w:val="4"/>
        </w:numPr>
        <w:tabs>
          <w:tab w:val="left" w:pos="1518"/>
          <w:tab w:val="left" w:pos="1519"/>
        </w:tabs>
        <w:spacing w:before="35"/>
        <w:rPr>
          <w:sz w:val="18"/>
        </w:rPr>
      </w:pPr>
      <w:r>
        <w:rPr>
          <w:sz w:val="18"/>
        </w:rPr>
        <w:t>personal data shall be accurate and, where necessary, kept</w:t>
      </w:r>
      <w:r>
        <w:rPr>
          <w:spacing w:val="-3"/>
          <w:sz w:val="18"/>
        </w:rPr>
        <w:t xml:space="preserve"> </w:t>
      </w:r>
      <w:r w:rsidR="006C6E78">
        <w:rPr>
          <w:sz w:val="18"/>
        </w:rPr>
        <w:t>up to date.</w:t>
      </w:r>
    </w:p>
    <w:p w14:paraId="20EB20B7" w14:textId="2585B425" w:rsidR="00C344E3" w:rsidRDefault="00C739BD">
      <w:pPr>
        <w:pStyle w:val="ListParagraph"/>
        <w:numPr>
          <w:ilvl w:val="1"/>
          <w:numId w:val="4"/>
        </w:numPr>
        <w:tabs>
          <w:tab w:val="left" w:pos="1518"/>
          <w:tab w:val="left" w:pos="1519"/>
        </w:tabs>
        <w:spacing w:before="32"/>
        <w:rPr>
          <w:sz w:val="18"/>
        </w:rPr>
      </w:pPr>
      <w:r>
        <w:rPr>
          <w:sz w:val="18"/>
        </w:rPr>
        <w:t xml:space="preserve">personal data shall not be kept </w:t>
      </w:r>
      <w:r w:rsidR="006C6E78">
        <w:rPr>
          <w:sz w:val="18"/>
        </w:rPr>
        <w:t>in any form which permits identification of data subjects for any longer than is necessary for the purposes for which the personal data are processed.</w:t>
      </w:r>
    </w:p>
    <w:p w14:paraId="7752DA2E" w14:textId="5BDFEE84" w:rsidR="00C344E3" w:rsidRDefault="00C739BD">
      <w:pPr>
        <w:pStyle w:val="ListParagraph"/>
        <w:numPr>
          <w:ilvl w:val="1"/>
          <w:numId w:val="4"/>
        </w:numPr>
        <w:tabs>
          <w:tab w:val="left" w:pos="1518"/>
          <w:tab w:val="left" w:pos="1519"/>
        </w:tabs>
        <w:spacing w:before="33" w:line="273" w:lineRule="auto"/>
        <w:ind w:right="560"/>
        <w:rPr>
          <w:sz w:val="18"/>
        </w:rPr>
      </w:pPr>
      <w:r>
        <w:rPr>
          <w:sz w:val="18"/>
        </w:rPr>
        <w:t>personal data shall be processed in a</w:t>
      </w:r>
      <w:r w:rsidR="006C6E78">
        <w:rPr>
          <w:sz w:val="18"/>
        </w:rPr>
        <w:t xml:space="preserve"> manner that ensures appropriate security of the personal data, including protection against unauthorised or unlawful processing and against accidental loss, </w:t>
      </w:r>
      <w:r w:rsidR="003718CB">
        <w:rPr>
          <w:sz w:val="18"/>
        </w:rPr>
        <w:t>destruction,</w:t>
      </w:r>
      <w:r w:rsidR="006C6E78">
        <w:rPr>
          <w:sz w:val="18"/>
        </w:rPr>
        <w:t xml:space="preserve"> or damage, using appropriate technical or organisational measures.</w:t>
      </w:r>
    </w:p>
    <w:p w14:paraId="6294EAF8" w14:textId="0D1C16B3" w:rsidR="00C344E3" w:rsidRPr="006C6E78" w:rsidRDefault="003718CB" w:rsidP="006C6E78">
      <w:pPr>
        <w:pStyle w:val="ListParagraph"/>
        <w:tabs>
          <w:tab w:val="left" w:pos="1518"/>
          <w:tab w:val="left" w:pos="1519"/>
        </w:tabs>
        <w:spacing w:before="5" w:line="273" w:lineRule="auto"/>
        <w:ind w:left="1518" w:right="276" w:firstLine="0"/>
        <w:rPr>
          <w:sz w:val="18"/>
        </w:rPr>
      </w:pPr>
      <w:r>
        <w:rPr>
          <w:sz w:val="18"/>
        </w:rPr>
        <w:t>Additionally,</w:t>
      </w:r>
      <w:r w:rsidR="006C6E78">
        <w:rPr>
          <w:sz w:val="18"/>
        </w:rPr>
        <w:t xml:space="preserve"> the data controller ‘shall be responsible for and be </w:t>
      </w:r>
      <w:r>
        <w:rPr>
          <w:sz w:val="18"/>
        </w:rPr>
        <w:t>able</w:t>
      </w:r>
      <w:r w:rsidR="006C6E78">
        <w:rPr>
          <w:sz w:val="18"/>
        </w:rPr>
        <w:t xml:space="preserve"> to demonstrate compliance with’ the six principles set out above.</w:t>
      </w:r>
    </w:p>
    <w:p w14:paraId="06070A5B" w14:textId="77777777" w:rsidR="00C344E3" w:rsidRDefault="00C344E3">
      <w:pPr>
        <w:pStyle w:val="BodyText"/>
        <w:spacing w:before="11"/>
        <w:rPr>
          <w:sz w:val="21"/>
        </w:rPr>
      </w:pPr>
    </w:p>
    <w:p w14:paraId="43451013" w14:textId="5CE49A9F" w:rsidR="00C344E3" w:rsidRDefault="00C739BD" w:rsidP="00EC5327">
      <w:pPr>
        <w:pStyle w:val="BodyText"/>
        <w:ind w:left="527"/>
        <w:sectPr w:rsidR="00C344E3">
          <w:headerReference w:type="default" r:id="rId7"/>
          <w:footerReference w:type="default" r:id="rId8"/>
          <w:type w:val="continuous"/>
          <w:pgSz w:w="11910" w:h="16840"/>
          <w:pgMar w:top="2200" w:right="1600" w:bottom="640" w:left="1340" w:header="167" w:footer="451" w:gutter="0"/>
          <w:cols w:space="720"/>
        </w:sectPr>
      </w:pPr>
      <w:r>
        <w:t>(Relevant section of the manual is Part 3 Chapter 1.1.3 and 1.1.6</w:t>
      </w:r>
    </w:p>
    <w:p w14:paraId="013B62C0" w14:textId="77777777" w:rsidR="00C344E3" w:rsidRDefault="00C344E3">
      <w:pPr>
        <w:pStyle w:val="BodyText"/>
        <w:spacing w:before="3"/>
        <w:rPr>
          <w:sz w:val="19"/>
        </w:rPr>
      </w:pPr>
    </w:p>
    <w:p w14:paraId="5E4815B2" w14:textId="77777777" w:rsidR="00C344E3" w:rsidRDefault="00C739BD">
      <w:pPr>
        <w:pStyle w:val="Heading1"/>
        <w:numPr>
          <w:ilvl w:val="0"/>
          <w:numId w:val="4"/>
        </w:numPr>
        <w:tabs>
          <w:tab w:val="left" w:pos="527"/>
          <w:tab w:val="left" w:pos="528"/>
        </w:tabs>
        <w:spacing w:before="64" w:line="276" w:lineRule="auto"/>
        <w:ind w:left="527" w:right="342" w:hanging="428"/>
      </w:pPr>
      <w:r>
        <w:t>Outline</w:t>
      </w:r>
      <w:r>
        <w:rPr>
          <w:spacing w:val="-2"/>
        </w:rPr>
        <w:t xml:space="preserve"> </w:t>
      </w:r>
      <w:r>
        <w:t>how</w:t>
      </w:r>
      <w:r>
        <w:rPr>
          <w:spacing w:val="-3"/>
        </w:rPr>
        <w:t xml:space="preserve"> </w:t>
      </w:r>
      <w:r>
        <w:t>the</w:t>
      </w:r>
      <w:r>
        <w:rPr>
          <w:spacing w:val="-2"/>
        </w:rPr>
        <w:t xml:space="preserve"> </w:t>
      </w:r>
      <w:r>
        <w:t>principle</w:t>
      </w:r>
      <w:r>
        <w:rPr>
          <w:spacing w:val="-1"/>
        </w:rPr>
        <w:t xml:space="preserve"> </w:t>
      </w:r>
      <w:r>
        <w:t>of</w:t>
      </w:r>
      <w:r>
        <w:rPr>
          <w:spacing w:val="-2"/>
        </w:rPr>
        <w:t xml:space="preserve"> </w:t>
      </w:r>
      <w:r>
        <w:t>equal</w:t>
      </w:r>
      <w:r>
        <w:rPr>
          <w:spacing w:val="-4"/>
        </w:rPr>
        <w:t xml:space="preserve"> </w:t>
      </w:r>
      <w:r>
        <w:t>pay</w:t>
      </w:r>
      <w:r>
        <w:rPr>
          <w:spacing w:val="-1"/>
        </w:rPr>
        <w:t xml:space="preserve"> </w:t>
      </w:r>
      <w:r>
        <w:t>for</w:t>
      </w:r>
      <w:r>
        <w:rPr>
          <w:spacing w:val="-2"/>
        </w:rPr>
        <w:t xml:space="preserve"> </w:t>
      </w:r>
      <w:r>
        <w:t>equal</w:t>
      </w:r>
      <w:r>
        <w:rPr>
          <w:spacing w:val="-4"/>
        </w:rPr>
        <w:t xml:space="preserve"> </w:t>
      </w:r>
      <w:r>
        <w:t>work</w:t>
      </w:r>
      <w:r>
        <w:rPr>
          <w:spacing w:val="-1"/>
        </w:rPr>
        <w:t xml:space="preserve"> </w:t>
      </w:r>
      <w:r>
        <w:t>for</w:t>
      </w:r>
      <w:r>
        <w:rPr>
          <w:spacing w:val="-2"/>
        </w:rPr>
        <w:t xml:space="preserve"> </w:t>
      </w:r>
      <w:r>
        <w:t>men</w:t>
      </w:r>
      <w:r>
        <w:rPr>
          <w:spacing w:val="-3"/>
        </w:rPr>
        <w:t xml:space="preserve"> </w:t>
      </w:r>
      <w:r>
        <w:t>and</w:t>
      </w:r>
      <w:r>
        <w:rPr>
          <w:spacing w:val="-2"/>
        </w:rPr>
        <w:t xml:space="preserve"> </w:t>
      </w:r>
      <w:r>
        <w:t>woman</w:t>
      </w:r>
      <w:r>
        <w:rPr>
          <w:spacing w:val="-4"/>
        </w:rPr>
        <w:t xml:space="preserve"> </w:t>
      </w:r>
      <w:r>
        <w:t>has</w:t>
      </w:r>
      <w:r>
        <w:rPr>
          <w:spacing w:val="-2"/>
        </w:rPr>
        <w:t xml:space="preserve"> </w:t>
      </w:r>
      <w:r>
        <w:t>impacted</w:t>
      </w:r>
      <w:r>
        <w:rPr>
          <w:spacing w:val="-2"/>
        </w:rPr>
        <w:t xml:space="preserve"> </w:t>
      </w:r>
      <w:r>
        <w:t>on</w:t>
      </w:r>
      <w:r>
        <w:rPr>
          <w:spacing w:val="-3"/>
        </w:rPr>
        <w:t xml:space="preserve"> </w:t>
      </w:r>
      <w:r>
        <w:t>UK occupational pension</w:t>
      </w:r>
      <w:r>
        <w:rPr>
          <w:spacing w:val="-2"/>
        </w:rPr>
        <w:t xml:space="preserve"> </w:t>
      </w:r>
      <w:r>
        <w:t>provision.</w:t>
      </w:r>
    </w:p>
    <w:p w14:paraId="43F72945" w14:textId="490CAE10" w:rsidR="00C344E3" w:rsidRPr="00EC5327" w:rsidRDefault="00C739BD" w:rsidP="00EC5327">
      <w:pPr>
        <w:spacing w:line="219" w:lineRule="exact"/>
        <w:ind w:right="353"/>
        <w:jc w:val="right"/>
        <w:rPr>
          <w:b/>
          <w:sz w:val="18"/>
        </w:rPr>
      </w:pPr>
      <w:r>
        <w:rPr>
          <w:b/>
          <w:sz w:val="18"/>
        </w:rPr>
        <w:t>5 marks</w:t>
      </w:r>
    </w:p>
    <w:p w14:paraId="7BF70EA2" w14:textId="77777777" w:rsidR="00C344E3" w:rsidRDefault="00C739BD">
      <w:pPr>
        <w:pStyle w:val="BodyText"/>
        <w:spacing w:before="64"/>
        <w:ind w:left="527"/>
      </w:pPr>
      <w:r>
        <w:t>Answer should cover:</w:t>
      </w:r>
    </w:p>
    <w:p w14:paraId="4FF9637F" w14:textId="77777777" w:rsidR="00C344E3" w:rsidRDefault="00C344E3">
      <w:pPr>
        <w:pStyle w:val="BodyText"/>
        <w:spacing w:before="9"/>
        <w:rPr>
          <w:sz w:val="17"/>
        </w:rPr>
      </w:pPr>
    </w:p>
    <w:p w14:paraId="2D6AE8B6" w14:textId="77777777" w:rsidR="00C344E3" w:rsidRDefault="00C739BD">
      <w:pPr>
        <w:pStyle w:val="BodyText"/>
        <w:spacing w:before="1"/>
        <w:ind w:left="527"/>
      </w:pPr>
      <w:r>
        <w:t>The principle of equal pay for equal work for men and women has impacted on:</w:t>
      </w:r>
    </w:p>
    <w:p w14:paraId="796E6555" w14:textId="77777777" w:rsidR="00C344E3" w:rsidRDefault="00C739BD">
      <w:pPr>
        <w:pStyle w:val="ListParagraph"/>
        <w:numPr>
          <w:ilvl w:val="1"/>
          <w:numId w:val="4"/>
        </w:numPr>
        <w:tabs>
          <w:tab w:val="left" w:pos="1540"/>
          <w:tab w:val="left" w:pos="1541"/>
        </w:tabs>
        <w:spacing w:before="34" w:line="229" w:lineRule="exact"/>
        <w:ind w:left="1540" w:hanging="361"/>
        <w:rPr>
          <w:sz w:val="18"/>
        </w:rPr>
      </w:pPr>
      <w:r>
        <w:rPr>
          <w:sz w:val="18"/>
        </w:rPr>
        <w:t>access for men and women into occupational pension schemes;</w:t>
      </w:r>
      <w:r>
        <w:rPr>
          <w:spacing w:val="-8"/>
          <w:sz w:val="18"/>
        </w:rPr>
        <w:t xml:space="preserve"> </w:t>
      </w:r>
      <w:r>
        <w:rPr>
          <w:sz w:val="18"/>
        </w:rPr>
        <w:t>and</w:t>
      </w:r>
    </w:p>
    <w:p w14:paraId="1B325834" w14:textId="77777777" w:rsidR="00C344E3" w:rsidRDefault="00C739BD">
      <w:pPr>
        <w:pStyle w:val="ListParagraph"/>
        <w:numPr>
          <w:ilvl w:val="1"/>
          <w:numId w:val="4"/>
        </w:numPr>
        <w:tabs>
          <w:tab w:val="left" w:pos="1540"/>
          <w:tab w:val="left" w:pos="1541"/>
        </w:tabs>
        <w:spacing w:line="229" w:lineRule="exact"/>
        <w:ind w:left="1540" w:hanging="361"/>
        <w:rPr>
          <w:sz w:val="18"/>
        </w:rPr>
      </w:pPr>
      <w:r>
        <w:rPr>
          <w:sz w:val="18"/>
        </w:rPr>
        <w:t>benefits provided by schemes to male and female</w:t>
      </w:r>
      <w:r>
        <w:rPr>
          <w:spacing w:val="-5"/>
          <w:sz w:val="18"/>
        </w:rPr>
        <w:t xml:space="preserve"> </w:t>
      </w:r>
      <w:r>
        <w:rPr>
          <w:sz w:val="18"/>
        </w:rPr>
        <w:t>members.</w:t>
      </w:r>
    </w:p>
    <w:p w14:paraId="756E9323" w14:textId="77777777" w:rsidR="00C344E3" w:rsidRDefault="00C344E3">
      <w:pPr>
        <w:pStyle w:val="BodyText"/>
        <w:spacing w:before="10"/>
        <w:rPr>
          <w:sz w:val="20"/>
        </w:rPr>
      </w:pPr>
    </w:p>
    <w:p w14:paraId="2E0F9429" w14:textId="21C7E887" w:rsidR="00C344E3" w:rsidRDefault="00C739BD">
      <w:pPr>
        <w:pStyle w:val="BodyText"/>
        <w:ind w:left="527" w:right="126"/>
      </w:pPr>
      <w:r>
        <w:t>The principle of equal treatment for men and women was incorporated into UK law by the Pensions Act 1995 and is now reflected in the Equality Act 2010. This Act provides that each occupational pension scheme must have read into it a non-discrimination rule and a sex equality rule.</w:t>
      </w:r>
    </w:p>
    <w:p w14:paraId="0D305385" w14:textId="1200CBF1" w:rsidR="003718CB" w:rsidRDefault="003718CB">
      <w:pPr>
        <w:pStyle w:val="BodyText"/>
        <w:ind w:left="527" w:right="126"/>
      </w:pPr>
    </w:p>
    <w:p w14:paraId="439C9FFD" w14:textId="3FF08351" w:rsidR="003718CB" w:rsidRDefault="003718CB">
      <w:pPr>
        <w:pStyle w:val="BodyText"/>
        <w:ind w:left="527" w:right="126"/>
      </w:pPr>
      <w:r>
        <w:t>Following the Barber v Guardian Royal Exchange Assurance Company Case, the normal pension ages for men and women under an occupational pension scheme had to be equali</w:t>
      </w:r>
      <w:r w:rsidR="00D16503">
        <w:t>s</w:t>
      </w:r>
      <w:r>
        <w:t>ed from the date of the judgment in Barber (</w:t>
      </w:r>
      <w:proofErr w:type="gramStart"/>
      <w:r w:rsidR="00D16503">
        <w:t>i.e.</w:t>
      </w:r>
      <w:r>
        <w:t>.</w:t>
      </w:r>
      <w:proofErr w:type="gramEnd"/>
      <w:r>
        <w:t xml:space="preserve"> 17 May 1990</w:t>
      </w:r>
      <w:r w:rsidR="00D16503">
        <w:t>)</w:t>
      </w:r>
      <w:r>
        <w:t xml:space="preserve"> </w:t>
      </w:r>
      <w:r w:rsidR="00D16503">
        <w:t>u</w:t>
      </w:r>
      <w:r>
        <w:t>nless legal proceedings had been instituted before that date.  For most schemes this meant that the rules of the scheme needed to be amended.  Many schemes had normal pension ages of 60 for women and 6</w:t>
      </w:r>
      <w:r w:rsidR="00D16503">
        <w:t>5</w:t>
      </w:r>
      <w:r>
        <w:t xml:space="preserve"> for men (in line with state pension </w:t>
      </w:r>
      <w:r w:rsidR="00D16503">
        <w:t>ages)</w:t>
      </w:r>
      <w:r>
        <w:t xml:space="preserve"> meaning that a soman retiring at 60 would be entitled to</w:t>
      </w:r>
      <w:r w:rsidR="00D16503">
        <w:t xml:space="preserve"> the</w:t>
      </w:r>
      <w:r>
        <w:t xml:space="preserve"> full amount of pension she had accrued, whereas a man retiring at 60 would usually be treated as retiring early </w:t>
      </w:r>
      <w:r w:rsidR="00D16503">
        <w:t>and therefore</w:t>
      </w:r>
      <w:r>
        <w:t xml:space="preserve"> have an actuarial reduction applied to his pension.  In this context the ECJ referred to women as the advan</w:t>
      </w:r>
      <w:r w:rsidR="00D16503">
        <w:t>tag</w:t>
      </w:r>
      <w:r>
        <w:t>ed sex.  The scheme liabilities were greatly affected.  Until the scheme rules were amended, normal pension ages for men and women had to be equali</w:t>
      </w:r>
      <w:r w:rsidR="00D16503">
        <w:t>s</w:t>
      </w:r>
      <w:r>
        <w:t>ed to those of the advant</w:t>
      </w:r>
      <w:r w:rsidR="00D16503">
        <w:t>ag</w:t>
      </w:r>
      <w:r>
        <w:t xml:space="preserve">ed sex.  </w:t>
      </w:r>
    </w:p>
    <w:p w14:paraId="26B3B8D8" w14:textId="77777777" w:rsidR="00C344E3" w:rsidRDefault="00C344E3">
      <w:pPr>
        <w:pStyle w:val="BodyText"/>
        <w:spacing w:before="11"/>
        <w:rPr>
          <w:sz w:val="19"/>
        </w:rPr>
      </w:pPr>
    </w:p>
    <w:p w14:paraId="57C7090A" w14:textId="77777777" w:rsidR="00C344E3" w:rsidRDefault="00C739BD">
      <w:pPr>
        <w:pStyle w:val="BodyText"/>
        <w:ind w:left="527"/>
      </w:pPr>
      <w:r>
        <w:t>Relevant section of the manual is Part 3 Chapter 1.4.3 and 1.4.5</w:t>
      </w:r>
    </w:p>
    <w:p w14:paraId="09B2A4EB" w14:textId="77777777" w:rsidR="00C344E3" w:rsidRDefault="00C344E3">
      <w:pPr>
        <w:pStyle w:val="BodyText"/>
        <w:rPr>
          <w:sz w:val="20"/>
        </w:rPr>
      </w:pPr>
    </w:p>
    <w:p w14:paraId="256D8E82" w14:textId="77777777" w:rsidR="00C344E3" w:rsidRDefault="00C344E3">
      <w:pPr>
        <w:pStyle w:val="BodyText"/>
        <w:rPr>
          <w:sz w:val="16"/>
        </w:rPr>
      </w:pPr>
    </w:p>
    <w:p w14:paraId="7700E179" w14:textId="77777777" w:rsidR="00C344E3" w:rsidRDefault="00C344E3">
      <w:pPr>
        <w:rPr>
          <w:sz w:val="16"/>
        </w:rPr>
        <w:sectPr w:rsidR="00C344E3">
          <w:pgSz w:w="11910" w:h="16840"/>
          <w:pgMar w:top="2200" w:right="1600" w:bottom="640" w:left="1340" w:header="167" w:footer="451" w:gutter="0"/>
          <w:cols w:space="720"/>
        </w:sectPr>
      </w:pPr>
    </w:p>
    <w:p w14:paraId="77D6CD66" w14:textId="77777777" w:rsidR="00C344E3" w:rsidRDefault="00C739BD">
      <w:pPr>
        <w:pStyle w:val="Heading1"/>
        <w:numPr>
          <w:ilvl w:val="0"/>
          <w:numId w:val="4"/>
        </w:numPr>
        <w:tabs>
          <w:tab w:val="left" w:pos="460"/>
          <w:tab w:val="left" w:pos="461"/>
        </w:tabs>
        <w:spacing w:before="63"/>
        <w:ind w:hanging="361"/>
      </w:pPr>
      <w:r>
        <w:t>Distinguish between a “pension sharing order” and an “attachment</w:t>
      </w:r>
      <w:r>
        <w:rPr>
          <w:spacing w:val="-22"/>
        </w:rPr>
        <w:t xml:space="preserve"> </w:t>
      </w:r>
      <w:r>
        <w:t>order”.</w:t>
      </w:r>
    </w:p>
    <w:p w14:paraId="0692B85F" w14:textId="77777777" w:rsidR="00C344E3" w:rsidRDefault="00C344E3">
      <w:pPr>
        <w:pStyle w:val="BodyText"/>
        <w:spacing w:before="6"/>
        <w:rPr>
          <w:b/>
          <w:sz w:val="23"/>
        </w:rPr>
      </w:pPr>
    </w:p>
    <w:p w14:paraId="45B7C0CB" w14:textId="77777777" w:rsidR="00C344E3" w:rsidRDefault="00C739BD">
      <w:pPr>
        <w:pStyle w:val="BodyText"/>
        <w:ind w:left="568"/>
      </w:pPr>
      <w:r>
        <w:t>Answer should cover:</w:t>
      </w:r>
    </w:p>
    <w:p w14:paraId="356C1300" w14:textId="77777777" w:rsidR="00C344E3" w:rsidRDefault="00C739BD">
      <w:pPr>
        <w:pStyle w:val="BodyText"/>
        <w:spacing w:before="10"/>
        <w:rPr>
          <w:sz w:val="25"/>
        </w:rPr>
      </w:pPr>
      <w:r>
        <w:br w:type="column"/>
      </w:r>
    </w:p>
    <w:p w14:paraId="0E21A605" w14:textId="77777777" w:rsidR="00C344E3" w:rsidRDefault="00C739BD">
      <w:pPr>
        <w:pStyle w:val="Heading1"/>
        <w:ind w:left="100"/>
      </w:pPr>
      <w:r>
        <w:t>10 marks</w:t>
      </w:r>
    </w:p>
    <w:p w14:paraId="3BEAB814" w14:textId="77777777" w:rsidR="00C344E3" w:rsidRDefault="00C344E3">
      <w:pPr>
        <w:sectPr w:rsidR="00C344E3">
          <w:type w:val="continuous"/>
          <w:pgSz w:w="11910" w:h="16840"/>
          <w:pgMar w:top="2200" w:right="1600" w:bottom="640" w:left="1340" w:header="720" w:footer="720" w:gutter="0"/>
          <w:cols w:num="2" w:space="720" w:equalWidth="0">
            <w:col w:w="6106" w:space="1815"/>
            <w:col w:w="1049"/>
          </w:cols>
        </w:sectPr>
      </w:pPr>
    </w:p>
    <w:p w14:paraId="36A49BD3" w14:textId="77777777" w:rsidR="00C344E3" w:rsidRDefault="00C344E3">
      <w:pPr>
        <w:pStyle w:val="BodyText"/>
        <w:spacing w:before="10"/>
        <w:rPr>
          <w:b/>
          <w:sz w:val="9"/>
        </w:rPr>
      </w:pPr>
    </w:p>
    <w:p w14:paraId="63FACF35" w14:textId="77777777" w:rsidR="00C344E3" w:rsidRDefault="00C739BD">
      <w:pPr>
        <w:pStyle w:val="ListParagraph"/>
        <w:numPr>
          <w:ilvl w:val="0"/>
          <w:numId w:val="2"/>
        </w:numPr>
        <w:tabs>
          <w:tab w:val="left" w:pos="1540"/>
          <w:tab w:val="left" w:pos="1541"/>
        </w:tabs>
        <w:spacing w:before="100"/>
        <w:ind w:right="121"/>
        <w:rPr>
          <w:sz w:val="18"/>
        </w:rPr>
      </w:pPr>
      <w:r>
        <w:rPr>
          <w:sz w:val="18"/>
        </w:rPr>
        <w:t>A pension sharing order is an order which may be made by the courts in respect of divorces on or after 1 December 2000. The effect of a pension sharing order is that the capital value of the</w:t>
      </w:r>
      <w:r>
        <w:rPr>
          <w:spacing w:val="-27"/>
          <w:sz w:val="18"/>
        </w:rPr>
        <w:t xml:space="preserve"> </w:t>
      </w:r>
      <w:r>
        <w:rPr>
          <w:sz w:val="18"/>
        </w:rPr>
        <w:t>pension is divided between the parties, with the rights of the member being reduced by way of a “pension debit” and the ex-spouse being granted a “pension credit” of the same</w:t>
      </w:r>
      <w:r>
        <w:rPr>
          <w:spacing w:val="-11"/>
          <w:sz w:val="18"/>
        </w:rPr>
        <w:t xml:space="preserve"> </w:t>
      </w:r>
      <w:r>
        <w:rPr>
          <w:sz w:val="18"/>
        </w:rPr>
        <w:t>amount.</w:t>
      </w:r>
    </w:p>
    <w:p w14:paraId="27EC1120" w14:textId="3F925CEB" w:rsidR="00C344E3" w:rsidRDefault="00C739BD">
      <w:pPr>
        <w:pStyle w:val="ListParagraph"/>
        <w:numPr>
          <w:ilvl w:val="0"/>
          <w:numId w:val="2"/>
        </w:numPr>
        <w:tabs>
          <w:tab w:val="left" w:pos="1540"/>
          <w:tab w:val="left" w:pos="1541"/>
        </w:tabs>
        <w:ind w:right="160"/>
        <w:rPr>
          <w:sz w:val="18"/>
        </w:rPr>
      </w:pPr>
      <w:r>
        <w:rPr>
          <w:sz w:val="18"/>
        </w:rPr>
        <w:t xml:space="preserve">The courts have been able to make attachment orders in respect of an individual’s pension benefits in respect of divorce proceedings started on or after 1 July 1996. An attachment order enables the courts to earmark some or </w:t>
      </w:r>
      <w:r w:rsidR="0028210C">
        <w:rPr>
          <w:sz w:val="18"/>
        </w:rPr>
        <w:t>all</w:t>
      </w:r>
      <w:r>
        <w:rPr>
          <w:sz w:val="18"/>
        </w:rPr>
        <w:t xml:space="preserve"> an individual’s pension benefits to provide maintenance or a capital sum to an ex-spouse. However, the benefit will only become payable when the member’s entitlement to benefits arises under the</w:t>
      </w:r>
      <w:r>
        <w:rPr>
          <w:spacing w:val="-1"/>
          <w:sz w:val="18"/>
        </w:rPr>
        <w:t xml:space="preserve"> </w:t>
      </w:r>
      <w:r>
        <w:rPr>
          <w:sz w:val="18"/>
        </w:rPr>
        <w:t>scheme.</w:t>
      </w:r>
      <w:r w:rsidR="0028210C" w:rsidRPr="0028210C">
        <w:t xml:space="preserve"> </w:t>
      </w:r>
      <w:r w:rsidR="0028210C" w:rsidRPr="0028210C">
        <w:rPr>
          <w:sz w:val="18"/>
        </w:rPr>
        <w:t>These provisions apply equally to divorce and dissolution in relation to same sex marriages</w:t>
      </w:r>
    </w:p>
    <w:p w14:paraId="2659CF8B" w14:textId="182A577C" w:rsidR="00C344E3" w:rsidRDefault="00C739BD">
      <w:pPr>
        <w:pStyle w:val="ListParagraph"/>
        <w:numPr>
          <w:ilvl w:val="0"/>
          <w:numId w:val="2"/>
        </w:numPr>
        <w:tabs>
          <w:tab w:val="left" w:pos="1540"/>
          <w:tab w:val="left" w:pos="1541"/>
        </w:tabs>
        <w:ind w:right="102"/>
        <w:rPr>
          <w:sz w:val="18"/>
        </w:rPr>
      </w:pPr>
      <w:r>
        <w:rPr>
          <w:sz w:val="18"/>
        </w:rPr>
        <w:t>The main advantage of a pension sharing order over an attachment order is that pension sharing orders offer the opportunity for a clean break, on the basis that the ex-spouse obtains a right, which is independent of the</w:t>
      </w:r>
      <w:r>
        <w:rPr>
          <w:spacing w:val="-2"/>
          <w:sz w:val="18"/>
        </w:rPr>
        <w:t xml:space="preserve"> </w:t>
      </w:r>
      <w:r>
        <w:rPr>
          <w:sz w:val="18"/>
        </w:rPr>
        <w:t>member</w:t>
      </w:r>
      <w:r w:rsidR="0028210C" w:rsidRPr="0028210C">
        <w:rPr>
          <w:sz w:val="18"/>
        </w:rPr>
        <w:t>, to receive benefits from the scheme or to transfer to another pension arrangement. What happens in practice depends on the rules of the scheme</w:t>
      </w:r>
      <w:r w:rsidR="0028210C">
        <w:rPr>
          <w:sz w:val="18"/>
        </w:rPr>
        <w:t>.</w:t>
      </w:r>
    </w:p>
    <w:p w14:paraId="29F649FF" w14:textId="173C0C7D" w:rsidR="00D16503" w:rsidRDefault="0028210C">
      <w:pPr>
        <w:pStyle w:val="ListParagraph"/>
        <w:numPr>
          <w:ilvl w:val="0"/>
          <w:numId w:val="2"/>
        </w:numPr>
        <w:tabs>
          <w:tab w:val="left" w:pos="1540"/>
          <w:tab w:val="left" w:pos="1541"/>
        </w:tabs>
        <w:ind w:right="102"/>
        <w:rPr>
          <w:sz w:val="18"/>
        </w:rPr>
      </w:pPr>
      <w:r w:rsidRPr="0028210C">
        <w:rPr>
          <w:sz w:val="18"/>
        </w:rPr>
        <w:t>Pension sharing orders and earmarking orders are also available on the dissolution of a civil partnership.</w:t>
      </w:r>
    </w:p>
    <w:p w14:paraId="5E7BD5F2" w14:textId="6141DEA2" w:rsidR="00C344E3" w:rsidRDefault="00C344E3">
      <w:pPr>
        <w:pStyle w:val="BodyText"/>
        <w:spacing w:before="9"/>
        <w:rPr>
          <w:sz w:val="21"/>
        </w:rPr>
      </w:pPr>
    </w:p>
    <w:p w14:paraId="4FCB8592" w14:textId="77777777" w:rsidR="00C344E3" w:rsidRDefault="00C739BD">
      <w:pPr>
        <w:pStyle w:val="BodyText"/>
        <w:ind w:left="527"/>
      </w:pPr>
      <w:r>
        <w:t>(Relevant section of the manual is Part 3 Chapter 1.2)</w:t>
      </w:r>
    </w:p>
    <w:p w14:paraId="4DD01804" w14:textId="77777777" w:rsidR="00C344E3" w:rsidRDefault="00C344E3">
      <w:pPr>
        <w:sectPr w:rsidR="00C344E3">
          <w:type w:val="continuous"/>
          <w:pgSz w:w="11910" w:h="16840"/>
          <w:pgMar w:top="2200" w:right="1600" w:bottom="640" w:left="1340" w:header="720" w:footer="720" w:gutter="0"/>
          <w:cols w:space="720"/>
        </w:sectPr>
      </w:pPr>
    </w:p>
    <w:p w14:paraId="43363376" w14:textId="77777777" w:rsidR="00C344E3" w:rsidRDefault="00C344E3">
      <w:pPr>
        <w:pStyle w:val="BodyText"/>
        <w:spacing w:before="7"/>
        <w:rPr>
          <w:sz w:val="20"/>
        </w:rPr>
      </w:pPr>
    </w:p>
    <w:p w14:paraId="1160FFD3" w14:textId="77777777" w:rsidR="00C344E3" w:rsidRDefault="00C739BD">
      <w:pPr>
        <w:pStyle w:val="Heading1"/>
        <w:numPr>
          <w:ilvl w:val="0"/>
          <w:numId w:val="4"/>
        </w:numPr>
        <w:tabs>
          <w:tab w:val="left" w:pos="527"/>
          <w:tab w:val="left" w:pos="528"/>
        </w:tabs>
        <w:spacing w:before="63" w:line="276" w:lineRule="auto"/>
        <w:ind w:left="527" w:right="443" w:hanging="428"/>
      </w:pPr>
      <w:r>
        <w:t>The</w:t>
      </w:r>
      <w:r>
        <w:rPr>
          <w:spacing w:val="-3"/>
        </w:rPr>
        <w:t xml:space="preserve"> </w:t>
      </w:r>
      <w:r>
        <w:t>Bribery</w:t>
      </w:r>
      <w:r>
        <w:rPr>
          <w:spacing w:val="-2"/>
        </w:rPr>
        <w:t xml:space="preserve"> </w:t>
      </w:r>
      <w:r>
        <w:t>Act</w:t>
      </w:r>
      <w:r>
        <w:rPr>
          <w:spacing w:val="-2"/>
        </w:rPr>
        <w:t xml:space="preserve"> </w:t>
      </w:r>
      <w:r>
        <w:t>2010</w:t>
      </w:r>
      <w:r>
        <w:rPr>
          <w:spacing w:val="-3"/>
        </w:rPr>
        <w:t xml:space="preserve"> </w:t>
      </w:r>
      <w:r>
        <w:t>created</w:t>
      </w:r>
      <w:r>
        <w:rPr>
          <w:spacing w:val="-2"/>
        </w:rPr>
        <w:t xml:space="preserve"> </w:t>
      </w:r>
      <w:r>
        <w:t>four</w:t>
      </w:r>
      <w:r>
        <w:rPr>
          <w:spacing w:val="-2"/>
        </w:rPr>
        <w:t xml:space="preserve"> </w:t>
      </w:r>
      <w:r>
        <w:t>criminal</w:t>
      </w:r>
      <w:r>
        <w:rPr>
          <w:spacing w:val="-2"/>
        </w:rPr>
        <w:t xml:space="preserve"> </w:t>
      </w:r>
      <w:r>
        <w:t>offences.</w:t>
      </w:r>
      <w:r>
        <w:rPr>
          <w:spacing w:val="-2"/>
        </w:rPr>
        <w:t xml:space="preserve"> </w:t>
      </w:r>
      <w:r>
        <w:t>Outline</w:t>
      </w:r>
      <w:r>
        <w:rPr>
          <w:spacing w:val="-2"/>
        </w:rPr>
        <w:t xml:space="preserve"> </w:t>
      </w:r>
      <w:r>
        <w:t>the</w:t>
      </w:r>
      <w:r>
        <w:rPr>
          <w:spacing w:val="-1"/>
        </w:rPr>
        <w:t xml:space="preserve"> </w:t>
      </w:r>
      <w:r>
        <w:t>offences</w:t>
      </w:r>
      <w:r>
        <w:rPr>
          <w:spacing w:val="-2"/>
        </w:rPr>
        <w:t xml:space="preserve"> </w:t>
      </w:r>
      <w:r>
        <w:t>which</w:t>
      </w:r>
      <w:r>
        <w:rPr>
          <w:spacing w:val="-3"/>
        </w:rPr>
        <w:t xml:space="preserve"> </w:t>
      </w:r>
      <w:r>
        <w:t>are</w:t>
      </w:r>
      <w:r>
        <w:rPr>
          <w:spacing w:val="-3"/>
        </w:rPr>
        <w:t xml:space="preserve"> </w:t>
      </w:r>
      <w:r>
        <w:t>potentially</w:t>
      </w:r>
      <w:r>
        <w:rPr>
          <w:spacing w:val="-2"/>
        </w:rPr>
        <w:t xml:space="preserve"> </w:t>
      </w:r>
      <w:r>
        <w:t>relevant</w:t>
      </w:r>
      <w:r>
        <w:rPr>
          <w:spacing w:val="-2"/>
        </w:rPr>
        <w:t xml:space="preserve"> </w:t>
      </w:r>
      <w:r>
        <w:t>for trustees of pension schemes and the penalties for breaching the</w:t>
      </w:r>
      <w:r>
        <w:rPr>
          <w:spacing w:val="-1"/>
        </w:rPr>
        <w:t xml:space="preserve"> </w:t>
      </w:r>
      <w:r>
        <w:t>Act.</w:t>
      </w:r>
    </w:p>
    <w:p w14:paraId="5142FFD8" w14:textId="77777777" w:rsidR="00C344E3" w:rsidRDefault="00C739BD">
      <w:pPr>
        <w:spacing w:line="219" w:lineRule="exact"/>
        <w:ind w:left="8021"/>
        <w:rPr>
          <w:b/>
          <w:sz w:val="18"/>
        </w:rPr>
      </w:pPr>
      <w:r>
        <w:rPr>
          <w:b/>
          <w:sz w:val="18"/>
        </w:rPr>
        <w:t>5 marks</w:t>
      </w:r>
    </w:p>
    <w:p w14:paraId="125DD22B" w14:textId="77777777" w:rsidR="00C344E3" w:rsidRDefault="00C739BD">
      <w:pPr>
        <w:pStyle w:val="BodyText"/>
        <w:spacing w:before="34"/>
        <w:ind w:left="527"/>
      </w:pPr>
      <w:r>
        <w:t>Answer should cover:</w:t>
      </w:r>
    </w:p>
    <w:p w14:paraId="34548726" w14:textId="77777777" w:rsidR="00C344E3" w:rsidRDefault="00C344E3">
      <w:pPr>
        <w:pStyle w:val="BodyText"/>
        <w:spacing w:before="7"/>
        <w:rPr>
          <w:sz w:val="20"/>
        </w:rPr>
      </w:pPr>
    </w:p>
    <w:p w14:paraId="29D19A3E" w14:textId="77777777" w:rsidR="00C344E3" w:rsidRDefault="00C739BD">
      <w:pPr>
        <w:pStyle w:val="BodyText"/>
        <w:ind w:left="527"/>
      </w:pPr>
      <w:r>
        <w:t>Three offences are potentially relevant for trustees of pension schemes:</w:t>
      </w:r>
    </w:p>
    <w:p w14:paraId="69170367" w14:textId="77777777" w:rsidR="00C344E3" w:rsidRDefault="00C739BD">
      <w:pPr>
        <w:pStyle w:val="ListParagraph"/>
        <w:numPr>
          <w:ilvl w:val="1"/>
          <w:numId w:val="4"/>
        </w:numPr>
        <w:tabs>
          <w:tab w:val="left" w:pos="1540"/>
          <w:tab w:val="left" w:pos="1541"/>
        </w:tabs>
        <w:spacing w:before="35"/>
        <w:ind w:left="1540" w:hanging="361"/>
        <w:rPr>
          <w:sz w:val="18"/>
        </w:rPr>
      </w:pPr>
      <w:r>
        <w:rPr>
          <w:sz w:val="18"/>
        </w:rPr>
        <w:t xml:space="preserve">giving a </w:t>
      </w:r>
      <w:proofErr w:type="gramStart"/>
      <w:r>
        <w:rPr>
          <w:sz w:val="18"/>
        </w:rPr>
        <w:t>bribe;</w:t>
      </w:r>
      <w:proofErr w:type="gramEnd"/>
    </w:p>
    <w:p w14:paraId="32EA802D" w14:textId="77777777" w:rsidR="00C344E3" w:rsidRDefault="00C739BD">
      <w:pPr>
        <w:pStyle w:val="ListParagraph"/>
        <w:numPr>
          <w:ilvl w:val="1"/>
          <w:numId w:val="4"/>
        </w:numPr>
        <w:tabs>
          <w:tab w:val="left" w:pos="1540"/>
          <w:tab w:val="left" w:pos="1541"/>
        </w:tabs>
        <w:spacing w:before="1" w:line="229" w:lineRule="exact"/>
        <w:ind w:left="1540" w:hanging="361"/>
        <w:rPr>
          <w:sz w:val="18"/>
        </w:rPr>
      </w:pPr>
      <w:r>
        <w:rPr>
          <w:sz w:val="18"/>
        </w:rPr>
        <w:t>taking a bribe;</w:t>
      </w:r>
      <w:r>
        <w:rPr>
          <w:spacing w:val="-3"/>
          <w:sz w:val="18"/>
        </w:rPr>
        <w:t xml:space="preserve"> </w:t>
      </w:r>
      <w:r>
        <w:rPr>
          <w:sz w:val="18"/>
        </w:rPr>
        <w:t>and</w:t>
      </w:r>
    </w:p>
    <w:p w14:paraId="69441E8E" w14:textId="213EF5B6" w:rsidR="00C344E3" w:rsidRDefault="00C739BD">
      <w:pPr>
        <w:pStyle w:val="ListParagraph"/>
        <w:numPr>
          <w:ilvl w:val="1"/>
          <w:numId w:val="4"/>
        </w:numPr>
        <w:tabs>
          <w:tab w:val="left" w:pos="1540"/>
          <w:tab w:val="left" w:pos="1541"/>
        </w:tabs>
        <w:spacing w:line="229" w:lineRule="exact"/>
        <w:ind w:left="1540" w:hanging="361"/>
        <w:rPr>
          <w:sz w:val="18"/>
        </w:rPr>
      </w:pPr>
      <w:r>
        <w:rPr>
          <w:sz w:val="18"/>
        </w:rPr>
        <w:t>the failure of a corporate organisation to prevent bribery by someone associated with</w:t>
      </w:r>
      <w:r>
        <w:rPr>
          <w:spacing w:val="-14"/>
          <w:sz w:val="18"/>
        </w:rPr>
        <w:t xml:space="preserve"> </w:t>
      </w:r>
      <w:r>
        <w:rPr>
          <w:sz w:val="18"/>
        </w:rPr>
        <w:t>it.</w:t>
      </w:r>
    </w:p>
    <w:p w14:paraId="0765041D" w14:textId="7F574CFA" w:rsidR="0028210C" w:rsidRDefault="0028210C" w:rsidP="0028210C">
      <w:pPr>
        <w:pStyle w:val="ListParagraph"/>
        <w:tabs>
          <w:tab w:val="left" w:pos="1540"/>
          <w:tab w:val="left" w:pos="1541"/>
        </w:tabs>
        <w:spacing w:line="229" w:lineRule="exact"/>
        <w:ind w:firstLine="0"/>
        <w:rPr>
          <w:sz w:val="18"/>
        </w:rPr>
      </w:pPr>
      <w:r w:rsidRPr="0028210C">
        <w:rPr>
          <w:sz w:val="18"/>
        </w:rPr>
        <w:t>The first two apply to individuals; the final offence is a corporate offence</w:t>
      </w:r>
    </w:p>
    <w:p w14:paraId="7555101D" w14:textId="77777777" w:rsidR="00C344E3" w:rsidRDefault="00C344E3">
      <w:pPr>
        <w:pStyle w:val="BodyText"/>
        <w:spacing w:before="6"/>
        <w:rPr>
          <w:sz w:val="15"/>
        </w:rPr>
      </w:pPr>
    </w:p>
    <w:p w14:paraId="5B582344" w14:textId="77777777" w:rsidR="00C344E3" w:rsidRDefault="00C739BD">
      <w:pPr>
        <w:pStyle w:val="BodyText"/>
        <w:spacing w:before="64"/>
        <w:ind w:left="527"/>
      </w:pPr>
      <w:r>
        <w:t>The penalties for breaching the Act are:</w:t>
      </w:r>
    </w:p>
    <w:p w14:paraId="5F4DD5EC" w14:textId="77777777" w:rsidR="00C344E3" w:rsidRDefault="00C739BD">
      <w:pPr>
        <w:pStyle w:val="ListParagraph"/>
        <w:numPr>
          <w:ilvl w:val="1"/>
          <w:numId w:val="4"/>
        </w:numPr>
        <w:tabs>
          <w:tab w:val="left" w:pos="1518"/>
          <w:tab w:val="left" w:pos="1519"/>
        </w:tabs>
        <w:spacing w:before="33"/>
        <w:ind w:hanging="286"/>
        <w:rPr>
          <w:sz w:val="18"/>
        </w:rPr>
      </w:pPr>
      <w:r>
        <w:rPr>
          <w:sz w:val="18"/>
        </w:rPr>
        <w:t>for an individual on conviction, up to 10 years imprisonment or an unlimited fine or both;</w:t>
      </w:r>
      <w:r>
        <w:rPr>
          <w:spacing w:val="-18"/>
          <w:sz w:val="18"/>
        </w:rPr>
        <w:t xml:space="preserve"> </w:t>
      </w:r>
      <w:proofErr w:type="gramStart"/>
      <w:r>
        <w:rPr>
          <w:sz w:val="18"/>
        </w:rPr>
        <w:t>or</w:t>
      </w:r>
      <w:proofErr w:type="gramEnd"/>
    </w:p>
    <w:p w14:paraId="441203D8" w14:textId="022A5143" w:rsidR="00DF0CCF" w:rsidRPr="00DF0CCF" w:rsidRDefault="00C739BD">
      <w:pPr>
        <w:pStyle w:val="ListParagraph"/>
        <w:numPr>
          <w:ilvl w:val="1"/>
          <w:numId w:val="4"/>
        </w:numPr>
        <w:tabs>
          <w:tab w:val="left" w:pos="1518"/>
          <w:tab w:val="left" w:pos="1519"/>
        </w:tabs>
        <w:spacing w:before="32" w:line="273" w:lineRule="auto"/>
        <w:ind w:right="658" w:hanging="286"/>
        <w:rPr>
          <w:sz w:val="18"/>
        </w:rPr>
      </w:pPr>
      <w:r>
        <w:rPr>
          <w:sz w:val="18"/>
        </w:rPr>
        <w:t>for a company, unlimited fines which can be imposed on both the company and its individual directors.</w:t>
      </w:r>
      <w:r w:rsidR="00DF0CCF" w:rsidRPr="00DF0CCF">
        <w:t xml:space="preserve"> </w:t>
      </w:r>
    </w:p>
    <w:p w14:paraId="2C7C2665" w14:textId="77777777" w:rsidR="00DF0CCF" w:rsidRPr="00DF0CCF" w:rsidRDefault="00DF0CCF" w:rsidP="00DF0CCF">
      <w:pPr>
        <w:pStyle w:val="ListParagraph"/>
        <w:tabs>
          <w:tab w:val="left" w:pos="1518"/>
          <w:tab w:val="left" w:pos="1519"/>
        </w:tabs>
        <w:spacing w:before="32" w:line="273" w:lineRule="auto"/>
        <w:ind w:left="1518" w:right="658" w:firstLine="0"/>
        <w:rPr>
          <w:sz w:val="18"/>
        </w:rPr>
      </w:pPr>
    </w:p>
    <w:p w14:paraId="48149FFE" w14:textId="00331DFC" w:rsidR="00C344E3" w:rsidRDefault="00DF0CCF" w:rsidP="00DF0CCF">
      <w:pPr>
        <w:pStyle w:val="ListParagraph"/>
        <w:tabs>
          <w:tab w:val="left" w:pos="1518"/>
          <w:tab w:val="left" w:pos="1519"/>
        </w:tabs>
        <w:spacing w:before="32" w:line="273" w:lineRule="auto"/>
        <w:ind w:left="1518" w:right="658" w:firstLine="0"/>
        <w:rPr>
          <w:sz w:val="18"/>
        </w:rPr>
      </w:pPr>
      <w:r w:rsidRPr="00DF0CCF">
        <w:rPr>
          <w:sz w:val="18"/>
        </w:rPr>
        <w:t>Trustees should take a proportionate look at, and assessment of, their likely risks and formulate a bribery policy accordingly. This policy should be reviewed on a regular basis and it is expected such a policy would confirm zero tolerance of any attempts to bribe an individual or acceptance of a bribe.</w:t>
      </w:r>
    </w:p>
    <w:p w14:paraId="5A4AA445" w14:textId="604CDFD0" w:rsidR="00C344E3" w:rsidRDefault="00DF0CCF">
      <w:pPr>
        <w:pStyle w:val="BodyText"/>
        <w:spacing w:before="3"/>
        <w:rPr>
          <w:sz w:val="20"/>
        </w:rPr>
      </w:pPr>
      <w:r>
        <w:rPr>
          <w:sz w:val="20"/>
        </w:rPr>
        <w:t xml:space="preserve">                            </w:t>
      </w:r>
    </w:p>
    <w:p w14:paraId="7C8CD277" w14:textId="77777777" w:rsidR="00C344E3" w:rsidRDefault="00C739BD">
      <w:pPr>
        <w:pStyle w:val="BodyText"/>
        <w:ind w:left="527"/>
      </w:pPr>
      <w:r>
        <w:t>Relevant section of the manual is Part 3 Chapter 1.7</w:t>
      </w:r>
    </w:p>
    <w:p w14:paraId="4173128C" w14:textId="77777777" w:rsidR="00C344E3" w:rsidRDefault="00C344E3">
      <w:pPr>
        <w:pStyle w:val="BodyText"/>
        <w:rPr>
          <w:sz w:val="20"/>
        </w:rPr>
      </w:pPr>
    </w:p>
    <w:p w14:paraId="769B4D50" w14:textId="77777777" w:rsidR="00C344E3" w:rsidRDefault="00C344E3">
      <w:pPr>
        <w:pStyle w:val="BodyText"/>
        <w:spacing w:before="8"/>
        <w:rPr>
          <w:sz w:val="15"/>
        </w:rPr>
      </w:pPr>
    </w:p>
    <w:p w14:paraId="3EF1E8B4" w14:textId="77777777" w:rsidR="00C344E3" w:rsidRDefault="00C739BD">
      <w:pPr>
        <w:pStyle w:val="Heading1"/>
        <w:numPr>
          <w:ilvl w:val="0"/>
          <w:numId w:val="4"/>
        </w:numPr>
        <w:tabs>
          <w:tab w:val="left" w:pos="527"/>
          <w:tab w:val="left" w:pos="528"/>
        </w:tabs>
        <w:spacing w:before="1"/>
        <w:ind w:left="527" w:hanging="428"/>
      </w:pPr>
      <w:r>
        <w:t>Distinguish between a share sale and a business</w:t>
      </w:r>
      <w:r>
        <w:rPr>
          <w:spacing w:val="-3"/>
        </w:rPr>
        <w:t xml:space="preserve"> </w:t>
      </w:r>
      <w:r>
        <w:t>sale.</w:t>
      </w:r>
    </w:p>
    <w:p w14:paraId="7D97FDCB" w14:textId="1C8B4480" w:rsidR="00C344E3" w:rsidRPr="00EC5327" w:rsidRDefault="00C739BD" w:rsidP="00EC5327">
      <w:pPr>
        <w:spacing w:before="34"/>
        <w:ind w:left="8021"/>
        <w:rPr>
          <w:b/>
          <w:sz w:val="18"/>
        </w:rPr>
      </w:pPr>
      <w:r>
        <w:rPr>
          <w:b/>
          <w:sz w:val="18"/>
        </w:rPr>
        <w:t>10 marks</w:t>
      </w:r>
    </w:p>
    <w:p w14:paraId="5F424DEE" w14:textId="77777777" w:rsidR="00DF0CCF" w:rsidRDefault="00C739BD">
      <w:pPr>
        <w:pStyle w:val="BodyText"/>
        <w:spacing w:before="64"/>
        <w:ind w:left="527"/>
      </w:pPr>
      <w:r>
        <w:t>Answer should cover:</w:t>
      </w:r>
    </w:p>
    <w:p w14:paraId="4AF04A02" w14:textId="0DB49CC6" w:rsidR="00C344E3" w:rsidRDefault="00DF0CCF">
      <w:pPr>
        <w:pStyle w:val="BodyText"/>
        <w:spacing w:before="64"/>
        <w:ind w:left="527"/>
      </w:pPr>
      <w:r w:rsidRPr="00DF0CCF">
        <w:t>Corporate transactions can be structured as either a share sale (</w:t>
      </w:r>
      <w:proofErr w:type="gramStart"/>
      <w:r w:rsidRPr="00DF0CCF">
        <w:t>i.e.</w:t>
      </w:r>
      <w:proofErr w:type="gramEnd"/>
      <w:r w:rsidRPr="00DF0CCF">
        <w:t xml:space="preserve"> the sale and purchase of a company by share transfer) or a business sale (i.e. the sale and purchase of some or all of the assets of a company). Business sales are also referred to as asset sales.</w:t>
      </w:r>
    </w:p>
    <w:p w14:paraId="7F5412E7" w14:textId="77777777" w:rsidR="00C344E3" w:rsidRDefault="00C344E3">
      <w:pPr>
        <w:pStyle w:val="BodyText"/>
        <w:spacing w:before="7"/>
        <w:rPr>
          <w:sz w:val="20"/>
        </w:rPr>
      </w:pPr>
    </w:p>
    <w:p w14:paraId="57662280" w14:textId="77777777" w:rsidR="00C344E3" w:rsidRDefault="00C739BD">
      <w:pPr>
        <w:pStyle w:val="BodyText"/>
        <w:ind w:left="527"/>
      </w:pPr>
      <w:r>
        <w:t>The key features of a share sale are:</w:t>
      </w:r>
    </w:p>
    <w:p w14:paraId="044668A3" w14:textId="0BA3276E" w:rsidR="00C344E3" w:rsidRDefault="00C739BD">
      <w:pPr>
        <w:pStyle w:val="ListParagraph"/>
        <w:numPr>
          <w:ilvl w:val="1"/>
          <w:numId w:val="4"/>
        </w:numPr>
        <w:tabs>
          <w:tab w:val="left" w:pos="1540"/>
          <w:tab w:val="left" w:pos="1541"/>
        </w:tabs>
        <w:spacing w:before="35"/>
        <w:ind w:left="1540" w:hanging="361"/>
        <w:rPr>
          <w:sz w:val="18"/>
        </w:rPr>
      </w:pPr>
      <w:r>
        <w:rPr>
          <w:sz w:val="18"/>
        </w:rPr>
        <w:t>a seller sells, and a buyer buys, shares in a</w:t>
      </w:r>
      <w:r>
        <w:rPr>
          <w:spacing w:val="-4"/>
          <w:sz w:val="18"/>
        </w:rPr>
        <w:t xml:space="preserve"> </w:t>
      </w:r>
      <w:r w:rsidR="00DF0CCF">
        <w:rPr>
          <w:sz w:val="18"/>
        </w:rPr>
        <w:t>company.</w:t>
      </w:r>
    </w:p>
    <w:p w14:paraId="1C28EA6B" w14:textId="77777777" w:rsidR="00C344E3" w:rsidRDefault="00C739BD">
      <w:pPr>
        <w:pStyle w:val="ListParagraph"/>
        <w:numPr>
          <w:ilvl w:val="1"/>
          <w:numId w:val="4"/>
        </w:numPr>
        <w:tabs>
          <w:tab w:val="left" w:pos="1540"/>
          <w:tab w:val="left" w:pos="1541"/>
        </w:tabs>
        <w:spacing w:before="1" w:line="229" w:lineRule="exact"/>
        <w:ind w:left="1540" w:hanging="361"/>
        <w:rPr>
          <w:sz w:val="18"/>
        </w:rPr>
      </w:pPr>
      <w:r>
        <w:rPr>
          <w:sz w:val="18"/>
        </w:rPr>
        <w:t xml:space="preserve">the sale and purchase agreement </w:t>
      </w:r>
      <w:proofErr w:type="gramStart"/>
      <w:r>
        <w:rPr>
          <w:sz w:val="18"/>
        </w:rPr>
        <w:t>is</w:t>
      </w:r>
      <w:proofErr w:type="gramEnd"/>
      <w:r>
        <w:rPr>
          <w:sz w:val="18"/>
        </w:rPr>
        <w:t xml:space="preserve"> made between the buyer and the owner(s) of the</w:t>
      </w:r>
      <w:r>
        <w:rPr>
          <w:spacing w:val="-16"/>
          <w:sz w:val="18"/>
        </w:rPr>
        <w:t xml:space="preserve"> </w:t>
      </w:r>
      <w:r>
        <w:rPr>
          <w:sz w:val="18"/>
        </w:rPr>
        <w:t>Target’s</w:t>
      </w:r>
    </w:p>
    <w:p w14:paraId="68B5BCFF" w14:textId="38CFF7CC" w:rsidR="00C344E3" w:rsidRDefault="00DF0CCF">
      <w:pPr>
        <w:pStyle w:val="BodyText"/>
        <w:spacing w:line="219" w:lineRule="exact"/>
        <w:ind w:left="1540"/>
      </w:pPr>
      <w:r>
        <w:t xml:space="preserve">shares </w:t>
      </w:r>
      <w:r w:rsidRPr="00DF0CCF">
        <w:t>but the business activity is still owned by the Target – and so, therefore.</w:t>
      </w:r>
    </w:p>
    <w:p w14:paraId="1F207056" w14:textId="77777777" w:rsidR="00C344E3" w:rsidRDefault="00C739BD">
      <w:pPr>
        <w:pStyle w:val="ListParagraph"/>
        <w:numPr>
          <w:ilvl w:val="1"/>
          <w:numId w:val="4"/>
        </w:numPr>
        <w:tabs>
          <w:tab w:val="left" w:pos="1540"/>
          <w:tab w:val="left" w:pos="1541"/>
        </w:tabs>
        <w:spacing w:before="1" w:line="229" w:lineRule="exact"/>
        <w:ind w:left="1540" w:hanging="361"/>
        <w:rPr>
          <w:sz w:val="18"/>
        </w:rPr>
      </w:pPr>
      <w:r>
        <w:rPr>
          <w:sz w:val="18"/>
        </w:rPr>
        <w:t>there is no change in the direct ownership of the Target’s business;</w:t>
      </w:r>
      <w:r>
        <w:rPr>
          <w:spacing w:val="-10"/>
          <w:sz w:val="18"/>
        </w:rPr>
        <w:t xml:space="preserve"> </w:t>
      </w:r>
      <w:r>
        <w:rPr>
          <w:sz w:val="18"/>
        </w:rPr>
        <w:t>and</w:t>
      </w:r>
    </w:p>
    <w:p w14:paraId="3A8243B9" w14:textId="77777777" w:rsidR="00C344E3" w:rsidRDefault="00C739BD">
      <w:pPr>
        <w:pStyle w:val="ListParagraph"/>
        <w:numPr>
          <w:ilvl w:val="1"/>
          <w:numId w:val="4"/>
        </w:numPr>
        <w:tabs>
          <w:tab w:val="left" w:pos="1540"/>
          <w:tab w:val="left" w:pos="1541"/>
        </w:tabs>
        <w:spacing w:line="229" w:lineRule="exact"/>
        <w:ind w:left="1540" w:hanging="361"/>
        <w:rPr>
          <w:sz w:val="18"/>
        </w:rPr>
      </w:pPr>
      <w:r>
        <w:rPr>
          <w:sz w:val="18"/>
        </w:rPr>
        <w:t>the buyer may be an individual or another</w:t>
      </w:r>
      <w:r>
        <w:rPr>
          <w:spacing w:val="-5"/>
          <w:sz w:val="18"/>
        </w:rPr>
        <w:t xml:space="preserve"> </w:t>
      </w:r>
      <w:r>
        <w:rPr>
          <w:sz w:val="18"/>
        </w:rPr>
        <w:t>company.</w:t>
      </w:r>
    </w:p>
    <w:p w14:paraId="326CD7B1" w14:textId="77777777" w:rsidR="00C344E3" w:rsidRDefault="00C344E3">
      <w:pPr>
        <w:pStyle w:val="BodyText"/>
        <w:spacing w:before="2"/>
      </w:pPr>
    </w:p>
    <w:p w14:paraId="149B5FB8" w14:textId="77777777" w:rsidR="00C344E3" w:rsidRDefault="00C739BD">
      <w:pPr>
        <w:pStyle w:val="BodyText"/>
        <w:spacing w:line="219" w:lineRule="exact"/>
        <w:ind w:left="527"/>
      </w:pPr>
      <w:r>
        <w:t>The key features of a business (or asset) sale are:</w:t>
      </w:r>
    </w:p>
    <w:p w14:paraId="27B3D516" w14:textId="3135372C" w:rsidR="00C344E3" w:rsidRDefault="00C739BD">
      <w:pPr>
        <w:pStyle w:val="ListParagraph"/>
        <w:numPr>
          <w:ilvl w:val="1"/>
          <w:numId w:val="4"/>
        </w:numPr>
        <w:tabs>
          <w:tab w:val="left" w:pos="1540"/>
          <w:tab w:val="left" w:pos="1541"/>
        </w:tabs>
        <w:ind w:left="1540" w:right="199" w:hanging="360"/>
        <w:rPr>
          <w:sz w:val="18"/>
        </w:rPr>
      </w:pPr>
      <w:r>
        <w:rPr>
          <w:sz w:val="18"/>
        </w:rPr>
        <w:t>a buyer acquires the assets that make up the business, for example plant and machinery,</w:t>
      </w:r>
      <w:r>
        <w:rPr>
          <w:spacing w:val="-27"/>
          <w:sz w:val="18"/>
        </w:rPr>
        <w:t xml:space="preserve"> </w:t>
      </w:r>
      <w:r>
        <w:rPr>
          <w:sz w:val="18"/>
        </w:rPr>
        <w:t xml:space="preserve">customer lists or </w:t>
      </w:r>
      <w:proofErr w:type="gramStart"/>
      <w:r>
        <w:rPr>
          <w:sz w:val="18"/>
        </w:rPr>
        <w:t>particular product</w:t>
      </w:r>
      <w:proofErr w:type="gramEnd"/>
      <w:r>
        <w:rPr>
          <w:spacing w:val="-4"/>
          <w:sz w:val="18"/>
        </w:rPr>
        <w:t xml:space="preserve"> </w:t>
      </w:r>
      <w:r w:rsidR="00DF0CCF">
        <w:rPr>
          <w:sz w:val="18"/>
        </w:rPr>
        <w:t>lines.</w:t>
      </w:r>
    </w:p>
    <w:p w14:paraId="39026C28" w14:textId="77777777" w:rsidR="00C344E3" w:rsidRDefault="00C739BD">
      <w:pPr>
        <w:pStyle w:val="ListParagraph"/>
        <w:numPr>
          <w:ilvl w:val="1"/>
          <w:numId w:val="4"/>
        </w:numPr>
        <w:tabs>
          <w:tab w:val="left" w:pos="1540"/>
          <w:tab w:val="left" w:pos="1541"/>
        </w:tabs>
        <w:ind w:left="1540" w:right="286" w:hanging="360"/>
        <w:rPr>
          <w:sz w:val="18"/>
        </w:rPr>
      </w:pPr>
      <w:r>
        <w:rPr>
          <w:sz w:val="18"/>
        </w:rPr>
        <w:t xml:space="preserve">the sale and purchase agreement </w:t>
      </w:r>
      <w:proofErr w:type="gramStart"/>
      <w:r>
        <w:rPr>
          <w:sz w:val="18"/>
        </w:rPr>
        <w:t>is</w:t>
      </w:r>
      <w:proofErr w:type="gramEnd"/>
      <w:r>
        <w:rPr>
          <w:sz w:val="18"/>
        </w:rPr>
        <w:t xml:space="preserve"> made between the buyer and the owner of the business, who may be an individual or a company;</w:t>
      </w:r>
      <w:r>
        <w:rPr>
          <w:spacing w:val="-5"/>
          <w:sz w:val="18"/>
        </w:rPr>
        <w:t xml:space="preserve"> </w:t>
      </w:r>
      <w:r>
        <w:rPr>
          <w:sz w:val="18"/>
        </w:rPr>
        <w:t>and</w:t>
      </w:r>
    </w:p>
    <w:p w14:paraId="2CFC1918" w14:textId="3A8E14DD" w:rsidR="00C344E3" w:rsidRDefault="00DF0CCF">
      <w:pPr>
        <w:pStyle w:val="ListParagraph"/>
        <w:numPr>
          <w:ilvl w:val="1"/>
          <w:numId w:val="4"/>
        </w:numPr>
        <w:tabs>
          <w:tab w:val="left" w:pos="1540"/>
          <w:tab w:val="left" w:pos="1541"/>
        </w:tabs>
        <w:ind w:left="1540" w:right="729" w:hanging="360"/>
        <w:rPr>
          <w:sz w:val="18"/>
        </w:rPr>
      </w:pPr>
      <w:r>
        <w:rPr>
          <w:sz w:val="18"/>
        </w:rPr>
        <w:t>because of</w:t>
      </w:r>
      <w:r w:rsidR="00C739BD">
        <w:rPr>
          <w:sz w:val="18"/>
        </w:rPr>
        <w:t xml:space="preserve"> the sale, some or </w:t>
      </w:r>
      <w:r>
        <w:rPr>
          <w:sz w:val="18"/>
        </w:rPr>
        <w:t>all</w:t>
      </w:r>
      <w:r w:rsidR="00C739BD">
        <w:rPr>
          <w:sz w:val="18"/>
        </w:rPr>
        <w:t xml:space="preserve"> the employees employed by the business transfer</w:t>
      </w:r>
      <w:r w:rsidR="00C739BD">
        <w:rPr>
          <w:spacing w:val="-27"/>
          <w:sz w:val="18"/>
        </w:rPr>
        <w:t xml:space="preserve"> </w:t>
      </w:r>
      <w:r w:rsidR="00C739BD">
        <w:rPr>
          <w:sz w:val="18"/>
        </w:rPr>
        <w:t>their employments to the</w:t>
      </w:r>
      <w:r w:rsidR="00C739BD">
        <w:rPr>
          <w:spacing w:val="-1"/>
          <w:sz w:val="18"/>
        </w:rPr>
        <w:t xml:space="preserve"> </w:t>
      </w:r>
      <w:r w:rsidR="00C739BD">
        <w:rPr>
          <w:sz w:val="18"/>
        </w:rPr>
        <w:t>buyer.</w:t>
      </w:r>
    </w:p>
    <w:p w14:paraId="5E5B6A09" w14:textId="77777777" w:rsidR="00C344E3" w:rsidRDefault="00C344E3">
      <w:pPr>
        <w:pStyle w:val="BodyText"/>
        <w:spacing w:before="9"/>
        <w:rPr>
          <w:sz w:val="21"/>
        </w:rPr>
      </w:pPr>
    </w:p>
    <w:p w14:paraId="73FFBD93" w14:textId="77777777" w:rsidR="00C344E3" w:rsidRDefault="00C739BD">
      <w:pPr>
        <w:pStyle w:val="BodyText"/>
        <w:ind w:left="527"/>
      </w:pPr>
      <w:r>
        <w:t>(Relevant section of the manual is Part 4 Chapter 1.1)</w:t>
      </w:r>
    </w:p>
    <w:p w14:paraId="3518963B" w14:textId="77777777" w:rsidR="00C344E3" w:rsidRDefault="00C344E3">
      <w:pPr>
        <w:sectPr w:rsidR="00C344E3">
          <w:pgSz w:w="11910" w:h="16840"/>
          <w:pgMar w:top="2200" w:right="1600" w:bottom="640" w:left="1340" w:header="167" w:footer="451" w:gutter="0"/>
          <w:cols w:space="720"/>
        </w:sectPr>
      </w:pPr>
    </w:p>
    <w:p w14:paraId="0B482995" w14:textId="77777777" w:rsidR="00C344E3" w:rsidRDefault="00C344E3">
      <w:pPr>
        <w:pStyle w:val="BodyText"/>
        <w:rPr>
          <w:sz w:val="20"/>
        </w:rPr>
      </w:pPr>
    </w:p>
    <w:p w14:paraId="6A6FEBEE" w14:textId="77777777" w:rsidR="00C344E3" w:rsidRDefault="00C344E3">
      <w:pPr>
        <w:pStyle w:val="BodyText"/>
        <w:spacing w:before="11"/>
        <w:rPr>
          <w:sz w:val="15"/>
        </w:rPr>
      </w:pPr>
    </w:p>
    <w:p w14:paraId="62BAE924" w14:textId="77777777" w:rsidR="00C344E3" w:rsidRDefault="00C344E3">
      <w:pPr>
        <w:rPr>
          <w:sz w:val="15"/>
        </w:rPr>
        <w:sectPr w:rsidR="00C344E3">
          <w:pgSz w:w="11910" w:h="16840"/>
          <w:pgMar w:top="2200" w:right="1600" w:bottom="640" w:left="1340" w:header="167" w:footer="451" w:gutter="0"/>
          <w:cols w:space="720"/>
        </w:sectPr>
      </w:pPr>
    </w:p>
    <w:p w14:paraId="378F088F" w14:textId="77777777" w:rsidR="00C344E3" w:rsidRDefault="00C739BD">
      <w:pPr>
        <w:pStyle w:val="Heading1"/>
        <w:numPr>
          <w:ilvl w:val="0"/>
          <w:numId w:val="4"/>
        </w:numPr>
        <w:tabs>
          <w:tab w:val="left" w:pos="527"/>
          <w:tab w:val="left" w:pos="528"/>
        </w:tabs>
        <w:spacing w:before="63"/>
        <w:ind w:left="527" w:hanging="428"/>
      </w:pPr>
      <w:r>
        <w:t>Distinguish between a warranty and an</w:t>
      </w:r>
      <w:r>
        <w:rPr>
          <w:spacing w:val="-14"/>
        </w:rPr>
        <w:t xml:space="preserve"> </w:t>
      </w:r>
      <w:r>
        <w:t>indemnity.</w:t>
      </w:r>
    </w:p>
    <w:p w14:paraId="054820CE" w14:textId="77777777" w:rsidR="00C344E3" w:rsidRDefault="00C344E3">
      <w:pPr>
        <w:pStyle w:val="BodyText"/>
        <w:spacing w:before="6"/>
        <w:rPr>
          <w:b/>
          <w:sz w:val="23"/>
        </w:rPr>
      </w:pPr>
    </w:p>
    <w:p w14:paraId="3B1F43EC" w14:textId="77777777" w:rsidR="00C344E3" w:rsidRDefault="00C739BD">
      <w:pPr>
        <w:pStyle w:val="BodyText"/>
        <w:ind w:left="527"/>
      </w:pPr>
      <w:r>
        <w:t>Answer should cover:</w:t>
      </w:r>
    </w:p>
    <w:p w14:paraId="397D7A58" w14:textId="77777777" w:rsidR="00C344E3" w:rsidRDefault="00C739BD">
      <w:pPr>
        <w:pStyle w:val="BodyText"/>
        <w:spacing w:before="10"/>
        <w:rPr>
          <w:sz w:val="25"/>
        </w:rPr>
      </w:pPr>
      <w:r>
        <w:br w:type="column"/>
      </w:r>
    </w:p>
    <w:p w14:paraId="1C1556D1" w14:textId="25CFB479" w:rsidR="00C344E3" w:rsidRDefault="00C739BD" w:rsidP="00EC5327">
      <w:pPr>
        <w:pStyle w:val="Heading1"/>
        <w:ind w:left="100"/>
        <w:sectPr w:rsidR="00C344E3">
          <w:type w:val="continuous"/>
          <w:pgSz w:w="11910" w:h="16840"/>
          <w:pgMar w:top="2200" w:right="1600" w:bottom="640" w:left="1340" w:header="720" w:footer="720" w:gutter="0"/>
          <w:cols w:num="2" w:space="720" w:equalWidth="0">
            <w:col w:w="4351" w:space="3570"/>
            <w:col w:w="1049"/>
          </w:cols>
        </w:sectPr>
      </w:pPr>
      <w:r>
        <w:t>10 marks</w:t>
      </w:r>
    </w:p>
    <w:p w14:paraId="79B045B9" w14:textId="77777777" w:rsidR="00C344E3" w:rsidRDefault="00C344E3">
      <w:pPr>
        <w:pStyle w:val="BodyText"/>
        <w:spacing w:before="4"/>
        <w:rPr>
          <w:b/>
          <w:sz w:val="15"/>
        </w:rPr>
      </w:pPr>
    </w:p>
    <w:p w14:paraId="7A6FB414" w14:textId="77777777" w:rsidR="00C344E3" w:rsidRDefault="00C739BD">
      <w:pPr>
        <w:spacing w:before="64"/>
        <w:ind w:left="527"/>
        <w:rPr>
          <w:b/>
          <w:sz w:val="18"/>
        </w:rPr>
      </w:pPr>
      <w:r>
        <w:rPr>
          <w:b/>
          <w:sz w:val="18"/>
        </w:rPr>
        <w:t>Warranties</w:t>
      </w:r>
    </w:p>
    <w:p w14:paraId="2A5C566F" w14:textId="77777777" w:rsidR="00C344E3" w:rsidRDefault="00C739BD">
      <w:pPr>
        <w:pStyle w:val="ListParagraph"/>
        <w:numPr>
          <w:ilvl w:val="0"/>
          <w:numId w:val="1"/>
        </w:numPr>
        <w:tabs>
          <w:tab w:val="left" w:pos="1540"/>
          <w:tab w:val="left" w:pos="1541"/>
        </w:tabs>
        <w:spacing w:before="35"/>
        <w:ind w:right="231"/>
        <w:rPr>
          <w:sz w:val="18"/>
        </w:rPr>
      </w:pPr>
      <w:r>
        <w:rPr>
          <w:sz w:val="18"/>
        </w:rPr>
        <w:t>A</w:t>
      </w:r>
      <w:r>
        <w:rPr>
          <w:spacing w:val="-4"/>
          <w:sz w:val="18"/>
        </w:rPr>
        <w:t xml:space="preserve"> </w:t>
      </w:r>
      <w:r>
        <w:rPr>
          <w:sz w:val="18"/>
        </w:rPr>
        <w:t>warranty</w:t>
      </w:r>
      <w:r>
        <w:rPr>
          <w:spacing w:val="-1"/>
          <w:sz w:val="18"/>
        </w:rPr>
        <w:t xml:space="preserve"> </w:t>
      </w:r>
      <w:r>
        <w:rPr>
          <w:sz w:val="18"/>
        </w:rPr>
        <w:t>is</w:t>
      </w:r>
      <w:r>
        <w:rPr>
          <w:spacing w:val="-3"/>
          <w:sz w:val="18"/>
        </w:rPr>
        <w:t xml:space="preserve"> </w:t>
      </w:r>
      <w:r>
        <w:rPr>
          <w:sz w:val="18"/>
        </w:rPr>
        <w:t>a</w:t>
      </w:r>
      <w:r>
        <w:rPr>
          <w:spacing w:val="-2"/>
          <w:sz w:val="18"/>
        </w:rPr>
        <w:t xml:space="preserve"> </w:t>
      </w:r>
      <w:r>
        <w:rPr>
          <w:sz w:val="18"/>
        </w:rPr>
        <w:t>binding</w:t>
      </w:r>
      <w:r>
        <w:rPr>
          <w:spacing w:val="-1"/>
          <w:sz w:val="18"/>
        </w:rPr>
        <w:t xml:space="preserve"> </w:t>
      </w:r>
      <w:r>
        <w:rPr>
          <w:sz w:val="18"/>
        </w:rPr>
        <w:t>statement</w:t>
      </w:r>
      <w:r>
        <w:rPr>
          <w:spacing w:val="-1"/>
          <w:sz w:val="18"/>
        </w:rPr>
        <w:t xml:space="preserve"> </w:t>
      </w:r>
      <w:r>
        <w:rPr>
          <w:sz w:val="18"/>
        </w:rPr>
        <w:t>of</w:t>
      </w:r>
      <w:r>
        <w:rPr>
          <w:spacing w:val="-2"/>
          <w:sz w:val="18"/>
        </w:rPr>
        <w:t xml:space="preserve"> </w:t>
      </w:r>
      <w:r>
        <w:rPr>
          <w:sz w:val="18"/>
        </w:rPr>
        <w:t>fact</w:t>
      </w:r>
      <w:r>
        <w:rPr>
          <w:spacing w:val="-2"/>
          <w:sz w:val="18"/>
        </w:rPr>
        <w:t xml:space="preserve"> </w:t>
      </w:r>
      <w:r>
        <w:rPr>
          <w:sz w:val="18"/>
        </w:rPr>
        <w:t>given</w:t>
      </w:r>
      <w:r>
        <w:rPr>
          <w:spacing w:val="-2"/>
          <w:sz w:val="18"/>
        </w:rPr>
        <w:t xml:space="preserve"> </w:t>
      </w:r>
      <w:r>
        <w:rPr>
          <w:sz w:val="18"/>
        </w:rPr>
        <w:t>by</w:t>
      </w:r>
      <w:r>
        <w:rPr>
          <w:spacing w:val="-2"/>
          <w:sz w:val="18"/>
        </w:rPr>
        <w:t xml:space="preserve"> </w:t>
      </w:r>
      <w:r>
        <w:rPr>
          <w:sz w:val="18"/>
        </w:rPr>
        <w:t>the seller</w:t>
      </w:r>
      <w:r>
        <w:rPr>
          <w:spacing w:val="-2"/>
          <w:sz w:val="18"/>
        </w:rPr>
        <w:t xml:space="preserve"> </w:t>
      </w:r>
      <w:r>
        <w:rPr>
          <w:sz w:val="18"/>
        </w:rPr>
        <w:t>about a</w:t>
      </w:r>
      <w:r>
        <w:rPr>
          <w:spacing w:val="-3"/>
          <w:sz w:val="18"/>
        </w:rPr>
        <w:t xml:space="preserve"> </w:t>
      </w:r>
      <w:r>
        <w:rPr>
          <w:sz w:val="18"/>
        </w:rPr>
        <w:t>particular</w:t>
      </w:r>
      <w:r>
        <w:rPr>
          <w:spacing w:val="-2"/>
          <w:sz w:val="18"/>
        </w:rPr>
        <w:t xml:space="preserve"> </w:t>
      </w:r>
      <w:r>
        <w:rPr>
          <w:sz w:val="18"/>
        </w:rPr>
        <w:t>aspect</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Target company or</w:t>
      </w:r>
      <w:r>
        <w:rPr>
          <w:spacing w:val="-1"/>
          <w:sz w:val="18"/>
        </w:rPr>
        <w:t xml:space="preserve"> </w:t>
      </w:r>
      <w:r>
        <w:rPr>
          <w:sz w:val="18"/>
        </w:rPr>
        <w:t>business.</w:t>
      </w:r>
    </w:p>
    <w:p w14:paraId="336C9AD8" w14:textId="77777777" w:rsidR="00C344E3" w:rsidRDefault="00C739BD">
      <w:pPr>
        <w:pStyle w:val="ListParagraph"/>
        <w:numPr>
          <w:ilvl w:val="0"/>
          <w:numId w:val="1"/>
        </w:numPr>
        <w:tabs>
          <w:tab w:val="left" w:pos="1540"/>
          <w:tab w:val="left" w:pos="1541"/>
        </w:tabs>
        <w:spacing w:line="228" w:lineRule="exact"/>
        <w:ind w:hanging="361"/>
        <w:rPr>
          <w:sz w:val="18"/>
        </w:rPr>
      </w:pPr>
      <w:r>
        <w:rPr>
          <w:sz w:val="18"/>
        </w:rPr>
        <w:t>Warranties serve two main</w:t>
      </w:r>
      <w:r>
        <w:rPr>
          <w:spacing w:val="-4"/>
          <w:sz w:val="18"/>
        </w:rPr>
        <w:t xml:space="preserve"> </w:t>
      </w:r>
      <w:r>
        <w:rPr>
          <w:sz w:val="18"/>
        </w:rPr>
        <w:t>purposes:</w:t>
      </w:r>
    </w:p>
    <w:p w14:paraId="687D24FC" w14:textId="6A557177" w:rsidR="00C344E3" w:rsidRDefault="00C739BD">
      <w:pPr>
        <w:pStyle w:val="ListParagraph"/>
        <w:numPr>
          <w:ilvl w:val="0"/>
          <w:numId w:val="3"/>
        </w:numPr>
        <w:tabs>
          <w:tab w:val="left" w:pos="1900"/>
          <w:tab w:val="left" w:pos="1901"/>
        </w:tabs>
        <w:spacing w:line="276" w:lineRule="auto"/>
        <w:ind w:right="401"/>
        <w:rPr>
          <w:sz w:val="18"/>
        </w:rPr>
      </w:pPr>
      <w:r>
        <w:rPr>
          <w:sz w:val="18"/>
        </w:rPr>
        <w:t>they provide the buyer with a remedy if the statements made about the Target prove to be incorrect</w:t>
      </w:r>
      <w:r w:rsidR="00DF0CCF" w:rsidRPr="00DF0CCF">
        <w:rPr>
          <w:sz w:val="18"/>
        </w:rPr>
        <w:t>. Warranties, in effect, provide a form of retrospective price adjustment. However, claims for breach of warranty will normally be subject to limitations which will be included in the SPA (such as maximum and minimum values on the claim and a time limit on when claims can be made) and to the legal duty for the buyer to ‘mitigate’ its losses. This means that the buyer, once aware of the breach, should try to limit its losses</w:t>
      </w:r>
      <w:proofErr w:type="gramStart"/>
      <w:r w:rsidR="00DF0CCF" w:rsidRPr="00DF0CCF">
        <w:rPr>
          <w:sz w:val="18"/>
        </w:rPr>
        <w:t xml:space="preserve">. </w:t>
      </w:r>
      <w:r>
        <w:rPr>
          <w:sz w:val="18"/>
        </w:rPr>
        <w:t>.</w:t>
      </w:r>
      <w:proofErr w:type="gramEnd"/>
    </w:p>
    <w:p w14:paraId="2400D38E" w14:textId="77777777" w:rsidR="00C344E3" w:rsidRDefault="00C739BD">
      <w:pPr>
        <w:pStyle w:val="ListParagraph"/>
        <w:numPr>
          <w:ilvl w:val="0"/>
          <w:numId w:val="3"/>
        </w:numPr>
        <w:tabs>
          <w:tab w:val="left" w:pos="1901"/>
        </w:tabs>
        <w:spacing w:line="219" w:lineRule="exact"/>
        <w:ind w:hanging="361"/>
        <w:rPr>
          <w:sz w:val="18"/>
        </w:rPr>
      </w:pPr>
      <w:r>
        <w:rPr>
          <w:sz w:val="18"/>
        </w:rPr>
        <w:t>they encourage the seller to disclose known problems to the buyer. Such disclosures</w:t>
      </w:r>
      <w:r>
        <w:rPr>
          <w:spacing w:val="-20"/>
          <w:sz w:val="18"/>
        </w:rPr>
        <w:t xml:space="preserve"> </w:t>
      </w:r>
      <w:r>
        <w:rPr>
          <w:sz w:val="18"/>
        </w:rPr>
        <w:t>would</w:t>
      </w:r>
    </w:p>
    <w:p w14:paraId="4EC0B9AA" w14:textId="51C6FC69" w:rsidR="00C344E3" w:rsidRDefault="00C739BD">
      <w:pPr>
        <w:pStyle w:val="BodyText"/>
        <w:spacing w:before="34"/>
        <w:ind w:left="1900"/>
      </w:pPr>
      <w:r>
        <w:t>normally be set out in a separate document known as a “disclosure letter”.</w:t>
      </w:r>
      <w:r w:rsidR="00DF0CCF" w:rsidRPr="00DF0CCF">
        <w:rPr>
          <w:sz w:val="22"/>
          <w:szCs w:val="22"/>
        </w:rPr>
        <w:t xml:space="preserve"> </w:t>
      </w:r>
      <w:r w:rsidR="00DF0CCF" w:rsidRPr="00DF0CCF">
        <w:t>The seller’s liability under the warranties would normally be limited to the extent that proper disclosure is made against them. The effect of the warranties, therefore, should be to flush out potential problems</w:t>
      </w:r>
    </w:p>
    <w:p w14:paraId="529F88BF" w14:textId="77777777" w:rsidR="00C344E3" w:rsidRDefault="00C344E3">
      <w:pPr>
        <w:pStyle w:val="BodyText"/>
        <w:spacing w:before="3"/>
        <w:rPr>
          <w:sz w:val="23"/>
        </w:rPr>
      </w:pPr>
    </w:p>
    <w:p w14:paraId="4D4DE6FF" w14:textId="77777777" w:rsidR="00C344E3" w:rsidRDefault="00C739BD">
      <w:pPr>
        <w:pStyle w:val="Heading1"/>
      </w:pPr>
      <w:r>
        <w:t>Indemnities</w:t>
      </w:r>
    </w:p>
    <w:p w14:paraId="40A395C9" w14:textId="774BE9DE" w:rsidR="00C344E3" w:rsidRDefault="00C739BD">
      <w:pPr>
        <w:pStyle w:val="ListParagraph"/>
        <w:numPr>
          <w:ilvl w:val="0"/>
          <w:numId w:val="1"/>
        </w:numPr>
        <w:tabs>
          <w:tab w:val="left" w:pos="1540"/>
          <w:tab w:val="left" w:pos="1541"/>
        </w:tabs>
        <w:spacing w:before="35"/>
        <w:ind w:right="289"/>
        <w:rPr>
          <w:sz w:val="18"/>
        </w:rPr>
      </w:pPr>
      <w:r>
        <w:rPr>
          <w:sz w:val="18"/>
        </w:rPr>
        <w:t xml:space="preserve">An indemnity is an undertaking by a party to meet a specific potential legal liability which another party may incur </w:t>
      </w:r>
      <w:r w:rsidR="00DF0CCF">
        <w:rPr>
          <w:sz w:val="18"/>
        </w:rPr>
        <w:t>because of</w:t>
      </w:r>
      <w:r>
        <w:rPr>
          <w:sz w:val="18"/>
        </w:rPr>
        <w:t xml:space="preserve"> a specific</w:t>
      </w:r>
      <w:r>
        <w:rPr>
          <w:spacing w:val="-5"/>
          <w:sz w:val="18"/>
        </w:rPr>
        <w:t xml:space="preserve"> </w:t>
      </w:r>
      <w:r>
        <w:rPr>
          <w:sz w:val="18"/>
        </w:rPr>
        <w:t>event</w:t>
      </w:r>
      <w:r w:rsidR="00DF0CCF">
        <w:rPr>
          <w:sz w:val="18"/>
        </w:rPr>
        <w:t>.</w:t>
      </w:r>
      <w:r w:rsidR="00DF0CCF" w:rsidRPr="00DF0CCF">
        <w:rPr>
          <w:sz w:val="18"/>
        </w:rPr>
        <w:t xml:space="preserve"> </w:t>
      </w:r>
      <w:r w:rsidR="00DF0CCF">
        <w:rPr>
          <w:sz w:val="18"/>
        </w:rPr>
        <w:t>I</w:t>
      </w:r>
      <w:r w:rsidR="00DF0CCF" w:rsidRPr="00DF0CCF">
        <w:rPr>
          <w:sz w:val="18"/>
        </w:rPr>
        <w:t>ndemnities are usually most appropriate to cover specific risks which are of particular concern to the buyer. For example, it is common on a share sale involving a defined benefit pension scheme for the seller to indemnify the buyer against any potential liability which the buyer may incur under section 75 of the Pensions Act 1995 because of the transaction.</w:t>
      </w:r>
    </w:p>
    <w:p w14:paraId="5EB60EFE" w14:textId="77777777" w:rsidR="00C344E3" w:rsidRDefault="00C344E3">
      <w:pPr>
        <w:pStyle w:val="BodyText"/>
        <w:spacing w:before="7"/>
        <w:rPr>
          <w:sz w:val="20"/>
        </w:rPr>
      </w:pPr>
    </w:p>
    <w:p w14:paraId="096A115A" w14:textId="77777777" w:rsidR="00C344E3" w:rsidRDefault="00C739BD">
      <w:pPr>
        <w:pStyle w:val="Heading1"/>
      </w:pPr>
      <w:r>
        <w:t>Distinguishing warranties and indemnities</w:t>
      </w:r>
    </w:p>
    <w:p w14:paraId="45284C76" w14:textId="77777777" w:rsidR="00C344E3" w:rsidRDefault="00C739BD">
      <w:pPr>
        <w:pStyle w:val="ListParagraph"/>
        <w:numPr>
          <w:ilvl w:val="0"/>
          <w:numId w:val="1"/>
        </w:numPr>
        <w:tabs>
          <w:tab w:val="left" w:pos="1540"/>
          <w:tab w:val="left" w:pos="1541"/>
        </w:tabs>
        <w:spacing w:before="35"/>
        <w:ind w:right="283"/>
        <w:rPr>
          <w:sz w:val="18"/>
        </w:rPr>
      </w:pPr>
      <w:r>
        <w:rPr>
          <w:sz w:val="18"/>
        </w:rPr>
        <w:t>One of the primary advantages of an indemnity over a warranty is that it will be easier for a buyer to make a claim under an</w:t>
      </w:r>
      <w:r>
        <w:rPr>
          <w:spacing w:val="-5"/>
          <w:sz w:val="18"/>
        </w:rPr>
        <w:t xml:space="preserve"> </w:t>
      </w:r>
      <w:r>
        <w:rPr>
          <w:sz w:val="18"/>
        </w:rPr>
        <w:t>indemnity.</w:t>
      </w:r>
    </w:p>
    <w:p w14:paraId="360A2F7F" w14:textId="7BC4091F" w:rsidR="00C344E3" w:rsidRDefault="00C739BD">
      <w:pPr>
        <w:pStyle w:val="ListParagraph"/>
        <w:numPr>
          <w:ilvl w:val="0"/>
          <w:numId w:val="1"/>
        </w:numPr>
        <w:tabs>
          <w:tab w:val="left" w:pos="1540"/>
          <w:tab w:val="left" w:pos="1541"/>
        </w:tabs>
        <w:ind w:right="318"/>
        <w:rPr>
          <w:sz w:val="18"/>
        </w:rPr>
      </w:pPr>
      <w:r>
        <w:rPr>
          <w:sz w:val="18"/>
        </w:rPr>
        <w:t>A</w:t>
      </w:r>
      <w:r>
        <w:rPr>
          <w:spacing w:val="-4"/>
          <w:sz w:val="18"/>
        </w:rPr>
        <w:t xml:space="preserve"> </w:t>
      </w:r>
      <w:r>
        <w:rPr>
          <w:sz w:val="18"/>
        </w:rPr>
        <w:t>claim</w:t>
      </w:r>
      <w:r>
        <w:rPr>
          <w:spacing w:val="-2"/>
          <w:sz w:val="18"/>
        </w:rPr>
        <w:t xml:space="preserve"> </w:t>
      </w:r>
      <w:r>
        <w:rPr>
          <w:sz w:val="18"/>
        </w:rPr>
        <w:t>for</w:t>
      </w:r>
      <w:r>
        <w:rPr>
          <w:spacing w:val="-2"/>
          <w:sz w:val="18"/>
        </w:rPr>
        <w:t xml:space="preserve"> </w:t>
      </w:r>
      <w:r>
        <w:rPr>
          <w:sz w:val="18"/>
        </w:rPr>
        <w:t>breach</w:t>
      </w:r>
      <w:r>
        <w:rPr>
          <w:spacing w:val="-2"/>
          <w:sz w:val="18"/>
        </w:rPr>
        <w:t xml:space="preserve"> </w:t>
      </w:r>
      <w:r>
        <w:rPr>
          <w:sz w:val="18"/>
        </w:rPr>
        <w:t>of</w:t>
      </w:r>
      <w:r>
        <w:rPr>
          <w:spacing w:val="-3"/>
          <w:sz w:val="18"/>
        </w:rPr>
        <w:t xml:space="preserve"> </w:t>
      </w:r>
      <w:r>
        <w:rPr>
          <w:sz w:val="18"/>
        </w:rPr>
        <w:t>a</w:t>
      </w:r>
      <w:r>
        <w:rPr>
          <w:spacing w:val="-1"/>
          <w:sz w:val="18"/>
        </w:rPr>
        <w:t xml:space="preserve"> </w:t>
      </w:r>
      <w:r>
        <w:rPr>
          <w:sz w:val="18"/>
        </w:rPr>
        <w:t>warranty</w:t>
      </w:r>
      <w:r>
        <w:rPr>
          <w:spacing w:val="-2"/>
          <w:sz w:val="18"/>
        </w:rPr>
        <w:t xml:space="preserve"> </w:t>
      </w:r>
      <w:r w:rsidR="00D43626">
        <w:rPr>
          <w:sz w:val="18"/>
        </w:rPr>
        <w:t>o</w:t>
      </w:r>
      <w:r>
        <w:rPr>
          <w:sz w:val="18"/>
        </w:rPr>
        <w:t>r</w:t>
      </w:r>
      <w:r>
        <w:rPr>
          <w:spacing w:val="-1"/>
          <w:sz w:val="18"/>
        </w:rPr>
        <w:t xml:space="preserve"> </w:t>
      </w:r>
      <w:r>
        <w:rPr>
          <w:sz w:val="18"/>
        </w:rPr>
        <w:t>an</w:t>
      </w:r>
      <w:r>
        <w:rPr>
          <w:spacing w:val="-3"/>
          <w:sz w:val="18"/>
        </w:rPr>
        <w:t xml:space="preserve"> </w:t>
      </w:r>
      <w:r>
        <w:rPr>
          <w:sz w:val="18"/>
        </w:rPr>
        <w:t>indemnity</w:t>
      </w:r>
      <w:r>
        <w:rPr>
          <w:spacing w:val="-2"/>
          <w:sz w:val="18"/>
        </w:rPr>
        <w:t xml:space="preserve"> </w:t>
      </w:r>
      <w:r>
        <w:rPr>
          <w:sz w:val="18"/>
        </w:rPr>
        <w:t>will</w:t>
      </w:r>
      <w:r>
        <w:rPr>
          <w:spacing w:val="-2"/>
          <w:sz w:val="18"/>
        </w:rPr>
        <w:t xml:space="preserve"> </w:t>
      </w:r>
      <w:r>
        <w:rPr>
          <w:sz w:val="18"/>
        </w:rPr>
        <w:t>normally be subject</w:t>
      </w:r>
      <w:r>
        <w:rPr>
          <w:spacing w:val="-2"/>
          <w:sz w:val="18"/>
        </w:rPr>
        <w:t xml:space="preserve"> </w:t>
      </w:r>
      <w:r>
        <w:rPr>
          <w:sz w:val="18"/>
        </w:rPr>
        <w:t>to</w:t>
      </w:r>
      <w:r>
        <w:rPr>
          <w:spacing w:val="-1"/>
          <w:sz w:val="18"/>
        </w:rPr>
        <w:t xml:space="preserve"> </w:t>
      </w:r>
      <w:r>
        <w:rPr>
          <w:sz w:val="18"/>
        </w:rPr>
        <w:t>limitations</w:t>
      </w:r>
      <w:r>
        <w:rPr>
          <w:spacing w:val="-3"/>
          <w:sz w:val="18"/>
        </w:rPr>
        <w:t xml:space="preserve"> </w:t>
      </w:r>
      <w:r>
        <w:rPr>
          <w:sz w:val="18"/>
        </w:rPr>
        <w:t>which</w:t>
      </w:r>
      <w:r>
        <w:rPr>
          <w:spacing w:val="-2"/>
          <w:sz w:val="18"/>
        </w:rPr>
        <w:t xml:space="preserve"> </w:t>
      </w:r>
      <w:r>
        <w:rPr>
          <w:sz w:val="18"/>
        </w:rPr>
        <w:t>will be included in the sale and purchase</w:t>
      </w:r>
      <w:r>
        <w:rPr>
          <w:spacing w:val="-9"/>
          <w:sz w:val="18"/>
        </w:rPr>
        <w:t xml:space="preserve"> </w:t>
      </w:r>
      <w:r>
        <w:rPr>
          <w:sz w:val="18"/>
        </w:rPr>
        <w:t>agreement</w:t>
      </w:r>
      <w:r w:rsidR="00D43626">
        <w:rPr>
          <w:sz w:val="18"/>
        </w:rPr>
        <w:t xml:space="preserve">. </w:t>
      </w:r>
      <w:r w:rsidR="00D43626" w:rsidRPr="00D43626">
        <w:rPr>
          <w:sz w:val="18"/>
        </w:rPr>
        <w:t xml:space="preserve">This is because to bring a successful claim for breach of a warranty, a buyer would need to show that the warranty has been breached, that the seller did not disclose the existence of the breach and that the buyer has suffered a loss </w:t>
      </w:r>
      <w:proofErr w:type="gramStart"/>
      <w:r w:rsidR="00D43626" w:rsidRPr="00D43626">
        <w:rPr>
          <w:sz w:val="18"/>
        </w:rPr>
        <w:t>as a result of</w:t>
      </w:r>
      <w:proofErr w:type="gramEnd"/>
      <w:r w:rsidR="00D43626" w:rsidRPr="00D43626">
        <w:rPr>
          <w:sz w:val="18"/>
        </w:rPr>
        <w:t xml:space="preserve"> the breach. Whereas under an indemnity, the buyer only needs to show that the liability covered by the indemnity has arisen and the seller is then required to reimburse the buyer in respect of that liability.</w:t>
      </w:r>
    </w:p>
    <w:p w14:paraId="3FCCF2CE" w14:textId="77777777" w:rsidR="00C344E3" w:rsidRDefault="00C739BD">
      <w:pPr>
        <w:pStyle w:val="ListParagraph"/>
        <w:numPr>
          <w:ilvl w:val="0"/>
          <w:numId w:val="1"/>
        </w:numPr>
        <w:tabs>
          <w:tab w:val="left" w:pos="1540"/>
          <w:tab w:val="left" w:pos="1541"/>
        </w:tabs>
        <w:spacing w:line="229" w:lineRule="exact"/>
        <w:ind w:hanging="361"/>
        <w:rPr>
          <w:sz w:val="18"/>
        </w:rPr>
      </w:pPr>
      <w:r>
        <w:rPr>
          <w:sz w:val="18"/>
        </w:rPr>
        <w:t>A claim for breach of warranty is also subject to the legal duty for the buyer to ‘mitigate’ its</w:t>
      </w:r>
      <w:r>
        <w:rPr>
          <w:spacing w:val="-24"/>
          <w:sz w:val="18"/>
        </w:rPr>
        <w:t xml:space="preserve"> </w:t>
      </w:r>
      <w:r>
        <w:rPr>
          <w:sz w:val="18"/>
        </w:rPr>
        <w:t>losses.</w:t>
      </w:r>
    </w:p>
    <w:p w14:paraId="348B903E" w14:textId="77777777" w:rsidR="00C344E3" w:rsidRDefault="00C739BD">
      <w:pPr>
        <w:pStyle w:val="ListParagraph"/>
        <w:numPr>
          <w:ilvl w:val="0"/>
          <w:numId w:val="1"/>
        </w:numPr>
        <w:tabs>
          <w:tab w:val="left" w:pos="1540"/>
          <w:tab w:val="left" w:pos="1541"/>
        </w:tabs>
        <w:spacing w:before="1"/>
        <w:ind w:right="338"/>
        <w:rPr>
          <w:sz w:val="18"/>
        </w:rPr>
      </w:pPr>
      <w:r>
        <w:rPr>
          <w:sz w:val="18"/>
        </w:rPr>
        <w:t>It</w:t>
      </w:r>
      <w:r>
        <w:rPr>
          <w:spacing w:val="-2"/>
          <w:sz w:val="18"/>
        </w:rPr>
        <w:t xml:space="preserve"> </w:t>
      </w:r>
      <w:r>
        <w:rPr>
          <w:sz w:val="18"/>
        </w:rPr>
        <w:t>is</w:t>
      </w:r>
      <w:r>
        <w:rPr>
          <w:spacing w:val="-3"/>
          <w:sz w:val="18"/>
        </w:rPr>
        <w:t xml:space="preserve"> </w:t>
      </w:r>
      <w:r>
        <w:rPr>
          <w:sz w:val="18"/>
        </w:rPr>
        <w:t>commonly</w:t>
      </w:r>
      <w:r>
        <w:rPr>
          <w:spacing w:val="-2"/>
          <w:sz w:val="18"/>
        </w:rPr>
        <w:t xml:space="preserve"> </w:t>
      </w:r>
      <w:r>
        <w:rPr>
          <w:sz w:val="18"/>
        </w:rPr>
        <w:t>thought</w:t>
      </w:r>
      <w:r>
        <w:rPr>
          <w:spacing w:val="-1"/>
          <w:sz w:val="18"/>
        </w:rPr>
        <w:t xml:space="preserve"> </w:t>
      </w:r>
      <w:r>
        <w:rPr>
          <w:sz w:val="18"/>
        </w:rPr>
        <w:t>that</w:t>
      </w:r>
      <w:r>
        <w:rPr>
          <w:spacing w:val="-1"/>
          <w:sz w:val="18"/>
        </w:rPr>
        <w:t xml:space="preserve"> </w:t>
      </w:r>
      <w:r>
        <w:rPr>
          <w:sz w:val="18"/>
        </w:rPr>
        <w:t>the</w:t>
      </w:r>
      <w:r>
        <w:rPr>
          <w:spacing w:val="-1"/>
          <w:sz w:val="18"/>
        </w:rPr>
        <w:t xml:space="preserve"> </w:t>
      </w:r>
      <w:r>
        <w:rPr>
          <w:sz w:val="18"/>
        </w:rPr>
        <w:t>party</w:t>
      </w:r>
      <w:r>
        <w:rPr>
          <w:spacing w:val="-1"/>
          <w:sz w:val="18"/>
        </w:rPr>
        <w:t xml:space="preserve"> </w:t>
      </w:r>
      <w:r>
        <w:rPr>
          <w:sz w:val="18"/>
        </w:rPr>
        <w:t>with</w:t>
      </w:r>
      <w:r>
        <w:rPr>
          <w:spacing w:val="-3"/>
          <w:sz w:val="18"/>
        </w:rPr>
        <w:t xml:space="preserve"> </w:t>
      </w:r>
      <w:r>
        <w:rPr>
          <w:sz w:val="18"/>
        </w:rPr>
        <w:t>the</w:t>
      </w:r>
      <w:r>
        <w:rPr>
          <w:spacing w:val="-3"/>
          <w:sz w:val="18"/>
        </w:rPr>
        <w:t xml:space="preserve"> </w:t>
      </w:r>
      <w:r>
        <w:rPr>
          <w:sz w:val="18"/>
        </w:rPr>
        <w:t>benefit</w:t>
      </w:r>
      <w:r>
        <w:rPr>
          <w:spacing w:val="-2"/>
          <w:sz w:val="18"/>
        </w:rPr>
        <w:t xml:space="preserve"> </w:t>
      </w:r>
      <w:r>
        <w:rPr>
          <w:sz w:val="18"/>
        </w:rPr>
        <w:t>of</w:t>
      </w:r>
      <w:r>
        <w:rPr>
          <w:spacing w:val="-2"/>
          <w:sz w:val="18"/>
        </w:rPr>
        <w:t xml:space="preserve"> </w:t>
      </w:r>
      <w:r>
        <w:rPr>
          <w:sz w:val="18"/>
        </w:rPr>
        <w:t>an</w:t>
      </w:r>
      <w:r>
        <w:rPr>
          <w:spacing w:val="-3"/>
          <w:sz w:val="18"/>
        </w:rPr>
        <w:t xml:space="preserve"> </w:t>
      </w:r>
      <w:r>
        <w:rPr>
          <w:sz w:val="18"/>
        </w:rPr>
        <w:t>indemnity</w:t>
      </w:r>
      <w:r>
        <w:rPr>
          <w:spacing w:val="-1"/>
          <w:sz w:val="18"/>
        </w:rPr>
        <w:t xml:space="preserve"> </w:t>
      </w:r>
      <w:r>
        <w:rPr>
          <w:sz w:val="18"/>
        </w:rPr>
        <w:t>does not</w:t>
      </w:r>
      <w:r>
        <w:rPr>
          <w:spacing w:val="-2"/>
          <w:sz w:val="18"/>
        </w:rPr>
        <w:t xml:space="preserve"> </w:t>
      </w:r>
      <w:r>
        <w:rPr>
          <w:sz w:val="18"/>
        </w:rPr>
        <w:t>need</w:t>
      </w:r>
      <w:r>
        <w:rPr>
          <w:spacing w:val="-2"/>
          <w:sz w:val="18"/>
        </w:rPr>
        <w:t xml:space="preserve"> </w:t>
      </w:r>
      <w:r>
        <w:rPr>
          <w:sz w:val="18"/>
        </w:rPr>
        <w:t>to</w:t>
      </w:r>
      <w:r>
        <w:rPr>
          <w:spacing w:val="-1"/>
          <w:sz w:val="18"/>
        </w:rPr>
        <w:t xml:space="preserve"> </w:t>
      </w:r>
      <w:r>
        <w:rPr>
          <w:sz w:val="18"/>
        </w:rPr>
        <w:t>mitigate its losses. However, the law is not clear on this</w:t>
      </w:r>
      <w:r>
        <w:rPr>
          <w:spacing w:val="-9"/>
          <w:sz w:val="18"/>
        </w:rPr>
        <w:t xml:space="preserve"> </w:t>
      </w:r>
      <w:r>
        <w:rPr>
          <w:sz w:val="18"/>
        </w:rPr>
        <w:t>point.</w:t>
      </w:r>
    </w:p>
    <w:p w14:paraId="69297855" w14:textId="77777777" w:rsidR="00C344E3" w:rsidRDefault="00C344E3">
      <w:pPr>
        <w:pStyle w:val="BodyText"/>
        <w:spacing w:before="10"/>
        <w:rPr>
          <w:sz w:val="19"/>
        </w:rPr>
      </w:pPr>
    </w:p>
    <w:p w14:paraId="76FA3E9A" w14:textId="77777777" w:rsidR="00C344E3" w:rsidRDefault="00C739BD">
      <w:pPr>
        <w:pStyle w:val="BodyText"/>
        <w:spacing w:before="1"/>
        <w:ind w:left="527"/>
      </w:pPr>
      <w:r>
        <w:t>(Relevant section of the manual is Part 4 Chapter 1.3)</w:t>
      </w:r>
    </w:p>
    <w:p w14:paraId="3A58C450" w14:textId="77777777" w:rsidR="00C344E3" w:rsidRDefault="00C344E3">
      <w:pPr>
        <w:pStyle w:val="BodyText"/>
      </w:pPr>
    </w:p>
    <w:p w14:paraId="7A700FFE" w14:textId="77777777" w:rsidR="00C344E3" w:rsidRDefault="00C344E3">
      <w:pPr>
        <w:pStyle w:val="BodyText"/>
        <w:spacing w:before="9"/>
        <w:rPr>
          <w:sz w:val="25"/>
        </w:rPr>
      </w:pPr>
    </w:p>
    <w:p w14:paraId="382288CC" w14:textId="77777777" w:rsidR="00C344E3" w:rsidRDefault="00C739BD">
      <w:pPr>
        <w:pStyle w:val="Heading1"/>
        <w:numPr>
          <w:ilvl w:val="0"/>
          <w:numId w:val="4"/>
        </w:numPr>
        <w:tabs>
          <w:tab w:val="left" w:pos="527"/>
          <w:tab w:val="left" w:pos="528"/>
        </w:tabs>
        <w:spacing w:before="1" w:line="276" w:lineRule="auto"/>
        <w:ind w:left="527" w:right="451" w:hanging="428"/>
      </w:pPr>
      <w:r>
        <w:t>Outline</w:t>
      </w:r>
      <w:r>
        <w:rPr>
          <w:spacing w:val="-3"/>
        </w:rPr>
        <w:t xml:space="preserve"> </w:t>
      </w:r>
      <w:r>
        <w:t>what</w:t>
      </w:r>
      <w:r>
        <w:rPr>
          <w:spacing w:val="-4"/>
        </w:rPr>
        <w:t xml:space="preserve"> </w:t>
      </w:r>
      <w:r>
        <w:t>type</w:t>
      </w:r>
      <w:r>
        <w:rPr>
          <w:spacing w:val="-2"/>
        </w:rPr>
        <w:t xml:space="preserve"> </w:t>
      </w:r>
      <w:r>
        <w:t>of</w:t>
      </w:r>
      <w:r>
        <w:rPr>
          <w:spacing w:val="-3"/>
        </w:rPr>
        <w:t xml:space="preserve"> </w:t>
      </w:r>
      <w:r>
        <w:t>pension</w:t>
      </w:r>
      <w:r>
        <w:rPr>
          <w:spacing w:val="-3"/>
        </w:rPr>
        <w:t xml:space="preserve"> </w:t>
      </w:r>
      <w:r>
        <w:t>arrangement</w:t>
      </w:r>
      <w:r>
        <w:rPr>
          <w:spacing w:val="-3"/>
        </w:rPr>
        <w:t xml:space="preserve"> </w:t>
      </w:r>
      <w:r>
        <w:t>a</w:t>
      </w:r>
      <w:r>
        <w:rPr>
          <w:spacing w:val="-2"/>
        </w:rPr>
        <w:t xml:space="preserve"> </w:t>
      </w:r>
      <w:r>
        <w:t>purchaser</w:t>
      </w:r>
      <w:r>
        <w:rPr>
          <w:spacing w:val="-3"/>
        </w:rPr>
        <w:t xml:space="preserve"> </w:t>
      </w:r>
      <w:r>
        <w:t>must</w:t>
      </w:r>
      <w:r>
        <w:rPr>
          <w:spacing w:val="-3"/>
        </w:rPr>
        <w:t xml:space="preserve"> </w:t>
      </w:r>
      <w:r>
        <w:t>provide</w:t>
      </w:r>
      <w:r>
        <w:rPr>
          <w:spacing w:val="-3"/>
        </w:rPr>
        <w:t xml:space="preserve"> </w:t>
      </w:r>
      <w:r>
        <w:t>to</w:t>
      </w:r>
      <w:r>
        <w:rPr>
          <w:spacing w:val="-3"/>
        </w:rPr>
        <w:t xml:space="preserve"> </w:t>
      </w:r>
      <w:r>
        <w:t>transferring</w:t>
      </w:r>
      <w:r>
        <w:rPr>
          <w:spacing w:val="-3"/>
        </w:rPr>
        <w:t xml:space="preserve"> </w:t>
      </w:r>
      <w:r>
        <w:t>employees</w:t>
      </w:r>
      <w:r>
        <w:rPr>
          <w:spacing w:val="-5"/>
        </w:rPr>
        <w:t xml:space="preserve"> </w:t>
      </w:r>
      <w:r>
        <w:t>following</w:t>
      </w:r>
      <w:r>
        <w:rPr>
          <w:spacing w:val="-3"/>
        </w:rPr>
        <w:t xml:space="preserve"> </w:t>
      </w:r>
      <w:r>
        <w:t>a business sale where the seller provided a defined contribution occupational pension</w:t>
      </w:r>
      <w:r>
        <w:rPr>
          <w:spacing w:val="-11"/>
        </w:rPr>
        <w:t xml:space="preserve"> </w:t>
      </w:r>
      <w:r>
        <w:t>scheme.</w:t>
      </w:r>
    </w:p>
    <w:p w14:paraId="1FE6C7F6" w14:textId="77777777" w:rsidR="00C344E3" w:rsidRDefault="00C739BD">
      <w:pPr>
        <w:spacing w:line="218" w:lineRule="exact"/>
        <w:ind w:left="8021"/>
        <w:rPr>
          <w:b/>
          <w:sz w:val="18"/>
        </w:rPr>
      </w:pPr>
      <w:r>
        <w:rPr>
          <w:b/>
          <w:sz w:val="18"/>
        </w:rPr>
        <w:t>5 marks</w:t>
      </w:r>
    </w:p>
    <w:p w14:paraId="7391F7A3" w14:textId="77777777" w:rsidR="00C344E3" w:rsidRDefault="00C739BD">
      <w:pPr>
        <w:pStyle w:val="BodyText"/>
        <w:spacing w:before="34"/>
        <w:ind w:left="527"/>
      </w:pPr>
      <w:r>
        <w:t>Answer should cover:</w:t>
      </w:r>
    </w:p>
    <w:p w14:paraId="41D62F29" w14:textId="77777777" w:rsidR="00C344E3" w:rsidRDefault="00C344E3">
      <w:pPr>
        <w:pStyle w:val="BodyText"/>
        <w:spacing w:before="7"/>
        <w:rPr>
          <w:sz w:val="15"/>
        </w:rPr>
      </w:pPr>
    </w:p>
    <w:p w14:paraId="50DC16FA" w14:textId="2B3FC3E1" w:rsidR="00C344E3" w:rsidRDefault="00C739BD">
      <w:pPr>
        <w:pStyle w:val="BodyText"/>
        <w:spacing w:before="63"/>
        <w:ind w:left="527" w:right="281"/>
      </w:pPr>
      <w:r>
        <w:t xml:space="preserve">On a business sale, the buyer </w:t>
      </w:r>
      <w:r w:rsidR="00D43626">
        <w:t>must</w:t>
      </w:r>
      <w:r>
        <w:t xml:space="preserve"> provide a certain minimum level of future service pension benefits for transferring employees, where the transferring employees were members of an occupational pension scheme prior to the transaction taking place. In these circumstances, the Pensions Act 2004 requires the buyer to put in place either:</w:t>
      </w:r>
    </w:p>
    <w:p w14:paraId="266A61EB" w14:textId="77777777" w:rsidR="00C344E3" w:rsidRDefault="00C344E3">
      <w:pPr>
        <w:pStyle w:val="BodyText"/>
        <w:spacing w:before="11"/>
        <w:rPr>
          <w:sz w:val="9"/>
        </w:rPr>
      </w:pPr>
    </w:p>
    <w:p w14:paraId="5A3B39D4" w14:textId="3102D58F" w:rsidR="00C344E3" w:rsidRDefault="00C739BD">
      <w:pPr>
        <w:pStyle w:val="ListParagraph"/>
        <w:numPr>
          <w:ilvl w:val="1"/>
          <w:numId w:val="4"/>
        </w:numPr>
        <w:tabs>
          <w:tab w:val="left" w:pos="1900"/>
          <w:tab w:val="left" w:pos="1901"/>
        </w:tabs>
        <w:spacing w:before="100" w:line="229" w:lineRule="exact"/>
        <w:ind w:left="1900" w:hanging="361"/>
        <w:rPr>
          <w:sz w:val="18"/>
        </w:rPr>
      </w:pPr>
      <w:r>
        <w:rPr>
          <w:sz w:val="18"/>
        </w:rPr>
        <w:t>an occupational defined benefit pension scheme which meets certain minimum criteria</w:t>
      </w:r>
      <w:r w:rsidR="00D43626">
        <w:rPr>
          <w:sz w:val="18"/>
        </w:rPr>
        <w:t xml:space="preserve"> </w:t>
      </w:r>
      <w:r w:rsidR="00D43626" w:rsidRPr="00D43626">
        <w:rPr>
          <w:sz w:val="18"/>
        </w:rPr>
        <w:t xml:space="preserve">(i.e. the contracting out reference scheme test, benefits worth at least 6% of pensionable pay per year or </w:t>
      </w:r>
      <w:r w:rsidR="00D43626" w:rsidRPr="00D43626">
        <w:rPr>
          <w:sz w:val="18"/>
        </w:rPr>
        <w:lastRenderedPageBreak/>
        <w:t>matched contributions up to 6% of pensionable pay); (i.e. the contracting out reference scheme test, benefits worth at least 6% of pensionable pay per year or matched contributions up to 6% of pensionable pay</w:t>
      </w:r>
      <w:proofErr w:type="gramStart"/>
      <w:r w:rsidR="00D43626" w:rsidRPr="00D43626">
        <w:rPr>
          <w:sz w:val="18"/>
        </w:rPr>
        <w:t>);</w:t>
      </w:r>
      <w:r w:rsidR="00D43626">
        <w:rPr>
          <w:sz w:val="18"/>
        </w:rPr>
        <w:t>o</w:t>
      </w:r>
      <w:r>
        <w:rPr>
          <w:sz w:val="18"/>
        </w:rPr>
        <w:t>r</w:t>
      </w:r>
      <w:proofErr w:type="gramEnd"/>
    </w:p>
    <w:p w14:paraId="08239BA3" w14:textId="2093935B" w:rsidR="000C48DE" w:rsidRDefault="00C739BD">
      <w:pPr>
        <w:pStyle w:val="ListParagraph"/>
        <w:numPr>
          <w:ilvl w:val="1"/>
          <w:numId w:val="4"/>
        </w:numPr>
        <w:tabs>
          <w:tab w:val="left" w:pos="1900"/>
          <w:tab w:val="left" w:pos="1901"/>
        </w:tabs>
        <w:ind w:left="1900" w:right="151" w:hanging="360"/>
        <w:rPr>
          <w:sz w:val="18"/>
        </w:rPr>
      </w:pPr>
      <w:r>
        <w:rPr>
          <w:sz w:val="18"/>
        </w:rPr>
        <w:t xml:space="preserve">a defined contribution arrangement </w:t>
      </w:r>
      <w:r>
        <w:rPr>
          <w:b/>
          <w:sz w:val="18"/>
        </w:rPr>
        <w:t>(</w:t>
      </w:r>
      <w:r>
        <w:rPr>
          <w:sz w:val="18"/>
        </w:rPr>
        <w:t>which can be an occupational pension scheme or a group personal pension scheme</w:t>
      </w:r>
      <w:r w:rsidR="000C48DE">
        <w:rPr>
          <w:sz w:val="18"/>
        </w:rPr>
        <w:t xml:space="preserve"> </w:t>
      </w:r>
      <w:r w:rsidR="000C48DE" w:rsidRPr="000C48DE">
        <w:rPr>
          <w:sz w:val="18"/>
        </w:rPr>
        <w:t>to which the seller is required to contribute or is not required to contribute but has in fact paid contributions) under which the buyer can choose either to match employee contributions up to 6% of pensionable pay or, if less, pay contributions at the same rate that the seller was required to contribute immediately before the transfer</w:t>
      </w:r>
      <w:r w:rsidR="000C48DE">
        <w:rPr>
          <w:sz w:val="18"/>
        </w:rPr>
        <w:t>.</w:t>
      </w:r>
    </w:p>
    <w:p w14:paraId="5888DF7A" w14:textId="77777777" w:rsidR="000C48DE" w:rsidRPr="000C48DE" w:rsidRDefault="000C48DE" w:rsidP="000C48DE">
      <w:pPr>
        <w:tabs>
          <w:tab w:val="left" w:pos="1900"/>
          <w:tab w:val="left" w:pos="1901"/>
        </w:tabs>
        <w:ind w:left="1177" w:right="151"/>
        <w:rPr>
          <w:sz w:val="18"/>
        </w:rPr>
      </w:pPr>
    </w:p>
    <w:p w14:paraId="370CFF24" w14:textId="59168079" w:rsidR="000C48DE" w:rsidRDefault="000C48DE" w:rsidP="000C48DE">
      <w:pPr>
        <w:pStyle w:val="ListParagraph"/>
        <w:tabs>
          <w:tab w:val="left" w:pos="1900"/>
          <w:tab w:val="left" w:pos="1901"/>
        </w:tabs>
        <w:ind w:left="1900" w:right="151" w:firstLine="0"/>
        <w:rPr>
          <w:sz w:val="18"/>
        </w:rPr>
      </w:pPr>
      <w:r w:rsidRPr="000C48DE">
        <w:t xml:space="preserve"> </w:t>
      </w:r>
      <w:r w:rsidRPr="000C48DE">
        <w:rPr>
          <w:sz w:val="18"/>
        </w:rPr>
        <w:t>In addition, once the buyer’s staging date for automatic enrolment has passed, the buyer must ensure that the automatic enrolment requirements are satisfied in relation to the transferring employees.</w:t>
      </w:r>
    </w:p>
    <w:p w14:paraId="40405793" w14:textId="77777777" w:rsidR="000C48DE" w:rsidRDefault="000C48DE" w:rsidP="000C48DE">
      <w:pPr>
        <w:pStyle w:val="ListParagraph"/>
        <w:tabs>
          <w:tab w:val="left" w:pos="1900"/>
          <w:tab w:val="left" w:pos="1901"/>
        </w:tabs>
        <w:ind w:left="1900" w:right="151" w:firstLine="0"/>
        <w:rPr>
          <w:sz w:val="18"/>
        </w:rPr>
      </w:pPr>
    </w:p>
    <w:p w14:paraId="349C5103" w14:textId="77777777" w:rsidR="00C344E3" w:rsidRDefault="00C344E3">
      <w:pPr>
        <w:pStyle w:val="BodyText"/>
        <w:spacing w:before="9"/>
        <w:rPr>
          <w:sz w:val="21"/>
        </w:rPr>
      </w:pPr>
    </w:p>
    <w:p w14:paraId="6BDCBB80" w14:textId="77777777" w:rsidR="00C344E3" w:rsidRDefault="00C739BD">
      <w:pPr>
        <w:pStyle w:val="BodyText"/>
        <w:ind w:left="527"/>
      </w:pPr>
      <w:r>
        <w:t>(Relevant section of the manual is Part 4 Chapter 1.5.1)</w:t>
      </w:r>
    </w:p>
    <w:sectPr w:rsidR="00C344E3">
      <w:type w:val="continuous"/>
      <w:pgSz w:w="11910" w:h="16840"/>
      <w:pgMar w:top="2200" w:right="1600" w:bottom="6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10C5E" w14:textId="77777777" w:rsidR="00C367D1" w:rsidRDefault="00C367D1">
      <w:r>
        <w:separator/>
      </w:r>
    </w:p>
  </w:endnote>
  <w:endnote w:type="continuationSeparator" w:id="0">
    <w:p w14:paraId="31A539CF" w14:textId="77777777" w:rsidR="00C367D1" w:rsidRDefault="00C3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950A" w14:textId="28EBB2AC" w:rsidR="00C344E3" w:rsidRDefault="00FB16AA">
    <w:pPr>
      <w:pStyle w:val="BodyText"/>
      <w:spacing w:line="14" w:lineRule="auto"/>
      <w:rPr>
        <w:sz w:val="20"/>
      </w:rPr>
    </w:pPr>
    <w:r>
      <w:rPr>
        <w:noProof/>
      </w:rPr>
      <mc:AlternateContent>
        <mc:Choice Requires="wps">
          <w:drawing>
            <wp:anchor distT="0" distB="0" distL="114300" distR="114300" simplePos="0" relativeHeight="487484416" behindDoc="1" locked="0" layoutInCell="1" allowOverlap="1" wp14:anchorId="094048FA" wp14:editId="6A6467B6">
              <wp:simplePos x="0" y="0"/>
              <wp:positionH relativeFrom="page">
                <wp:posOffset>901700</wp:posOffset>
              </wp:positionH>
              <wp:positionV relativeFrom="page">
                <wp:posOffset>10266045</wp:posOffset>
              </wp:positionV>
              <wp:extent cx="1854200"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4A670" w14:textId="77777777" w:rsidR="00C344E3" w:rsidRDefault="00C739BD">
                          <w:pPr>
                            <w:spacing w:line="184" w:lineRule="exact"/>
                            <w:ind w:left="20"/>
                            <w:rPr>
                              <w:sz w:val="16"/>
                            </w:rPr>
                          </w:pPr>
                          <w:r>
                            <w:rPr>
                              <w:sz w:val="16"/>
                            </w:rPr>
                            <w:t>Core Unit 2 Assignment 3</w:t>
                          </w:r>
                        </w:p>
                        <w:p w14:paraId="335209DA" w14:textId="77777777" w:rsidR="00C344E3" w:rsidRDefault="00C739BD">
                          <w:pPr>
                            <w:spacing w:before="28"/>
                            <w:ind w:left="20"/>
                            <w:rPr>
                              <w:sz w:val="16"/>
                            </w:rPr>
                          </w:pPr>
                          <w:r>
                            <w:rPr>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048FA" id="_x0000_t202" coordsize="21600,21600" o:spt="202" path="m,l,21600r21600,l21600,xe">
              <v:stroke joinstyle="miter"/>
              <v:path gradientshapeok="t" o:connecttype="rect"/>
            </v:shapetype>
            <v:shape id="Text Box 2" o:spid="_x0000_s1026" type="#_x0000_t202" style="position:absolute;margin-left:71pt;margin-top:808.35pt;width:146pt;height:21.2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" filled="f" stroked="f">
              <v:textbox inset="0,0,0,0">
                <w:txbxContent>
                  <w:p w14:paraId="5F64A670" w14:textId="77777777" w:rsidR="00C344E3" w:rsidRDefault="00C739BD">
                    <w:pPr>
                      <w:spacing w:line="184" w:lineRule="exact"/>
                      <w:ind w:left="20"/>
                      <w:rPr>
                        <w:sz w:val="16"/>
                      </w:rPr>
                    </w:pPr>
                    <w:r>
                      <w:rPr>
                        <w:sz w:val="16"/>
                      </w:rPr>
                      <w:t>Core Unit 2 Assignment 3</w:t>
                    </w:r>
                  </w:p>
                  <w:p w14:paraId="335209DA" w14:textId="77777777" w:rsidR="00C344E3" w:rsidRDefault="00C739BD">
                    <w:pPr>
                      <w:spacing w:before="28"/>
                      <w:ind w:left="20"/>
                      <w:rPr>
                        <w:sz w:val="16"/>
                      </w:rPr>
                    </w:pPr>
                    <w:r>
                      <w:rPr>
                        <w:sz w:val="16"/>
                      </w:rPr>
                      <w:t>© The Pensions Management Institute 2020</w:t>
                    </w:r>
                  </w:p>
                </w:txbxContent>
              </v:textbox>
              <w10:wrap anchorx="page" anchory="page"/>
            </v:shape>
          </w:pict>
        </mc:Fallback>
      </mc:AlternateContent>
    </w:r>
    <w:r>
      <w:rPr>
        <w:noProof/>
      </w:rPr>
      <mc:AlternateContent>
        <mc:Choice Requires="wps">
          <w:drawing>
            <wp:anchor distT="0" distB="0" distL="114300" distR="114300" simplePos="0" relativeHeight="487484928" behindDoc="1" locked="0" layoutInCell="1" allowOverlap="1" wp14:anchorId="023C4F9A" wp14:editId="0E924836">
              <wp:simplePos x="0" y="0"/>
              <wp:positionH relativeFrom="page">
                <wp:posOffset>5474335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EE0EA" w14:textId="77777777" w:rsidR="00C344E3" w:rsidRDefault="00C739BD">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4F9A" id="Text Box 1" o:spid="_x0000_s1027" type="#_x0000_t202" style="position:absolute;margin-left:431.05pt;margin-top:808.35pt;width:42.95pt;height:10.05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" filled="f" stroked="f">
              <v:textbox inset="0,0,0,0">
                <w:txbxContent>
                  <w:p w14:paraId="506EE0EA" w14:textId="77777777" w:rsidR="00C344E3" w:rsidRDefault="00C739BD">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980F" w14:textId="77777777" w:rsidR="00C367D1" w:rsidRDefault="00C367D1">
      <w:r>
        <w:separator/>
      </w:r>
    </w:p>
  </w:footnote>
  <w:footnote w:type="continuationSeparator" w:id="0">
    <w:p w14:paraId="486861EA" w14:textId="77777777" w:rsidR="00C367D1" w:rsidRDefault="00C3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A08A" w14:textId="2D8363EC" w:rsidR="00C344E3" w:rsidRDefault="007D405B">
    <w:pPr>
      <w:pStyle w:val="BodyText"/>
      <w:spacing w:line="14" w:lineRule="auto"/>
      <w:rPr>
        <w:sz w:val="20"/>
      </w:rPr>
    </w:pPr>
    <w:r>
      <w:rPr>
        <w:noProof/>
      </w:rPr>
      <w:drawing>
        <wp:anchor distT="0" distB="0" distL="114300" distR="114300" simplePos="0" relativeHeight="487486976" behindDoc="0" locked="0" layoutInCell="1" allowOverlap="1" wp14:anchorId="249D11A7" wp14:editId="38BB00FF">
          <wp:simplePos x="0" y="0"/>
          <wp:positionH relativeFrom="margin">
            <wp:posOffset>0</wp:posOffset>
          </wp:positionH>
          <wp:positionV relativeFrom="paragraph">
            <wp:posOffset>6350</wp:posOffset>
          </wp:positionV>
          <wp:extent cx="2339975" cy="1282700"/>
          <wp:effectExtent l="0" t="0" r="317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3B55"/>
    <w:multiLevelType w:val="hybridMultilevel"/>
    <w:tmpl w:val="FDE00298"/>
    <w:lvl w:ilvl="0" w:tplc="EC9CBA82">
      <w:numFmt w:val="bullet"/>
      <w:lvlText w:val=""/>
      <w:lvlJc w:val="left"/>
      <w:pPr>
        <w:ind w:left="1540" w:hanging="360"/>
      </w:pPr>
      <w:rPr>
        <w:rFonts w:ascii="Symbol" w:eastAsia="Symbol" w:hAnsi="Symbol" w:cs="Symbol" w:hint="default"/>
        <w:w w:val="100"/>
        <w:sz w:val="18"/>
        <w:szCs w:val="18"/>
        <w:lang w:val="en-US" w:eastAsia="en-US" w:bidi="ar-SA"/>
      </w:rPr>
    </w:lvl>
    <w:lvl w:ilvl="1" w:tplc="A462E004">
      <w:numFmt w:val="bullet"/>
      <w:lvlText w:val="•"/>
      <w:lvlJc w:val="left"/>
      <w:pPr>
        <w:ind w:left="2282" w:hanging="360"/>
      </w:pPr>
      <w:rPr>
        <w:rFonts w:hint="default"/>
        <w:lang w:val="en-US" w:eastAsia="en-US" w:bidi="ar-SA"/>
      </w:rPr>
    </w:lvl>
    <w:lvl w:ilvl="2" w:tplc="B77216C8">
      <w:numFmt w:val="bullet"/>
      <w:lvlText w:val="•"/>
      <w:lvlJc w:val="left"/>
      <w:pPr>
        <w:ind w:left="3025" w:hanging="360"/>
      </w:pPr>
      <w:rPr>
        <w:rFonts w:hint="default"/>
        <w:lang w:val="en-US" w:eastAsia="en-US" w:bidi="ar-SA"/>
      </w:rPr>
    </w:lvl>
    <w:lvl w:ilvl="3" w:tplc="340CFF3C">
      <w:numFmt w:val="bullet"/>
      <w:lvlText w:val="•"/>
      <w:lvlJc w:val="left"/>
      <w:pPr>
        <w:ind w:left="3767" w:hanging="360"/>
      </w:pPr>
      <w:rPr>
        <w:rFonts w:hint="default"/>
        <w:lang w:val="en-US" w:eastAsia="en-US" w:bidi="ar-SA"/>
      </w:rPr>
    </w:lvl>
    <w:lvl w:ilvl="4" w:tplc="2982EC80">
      <w:numFmt w:val="bullet"/>
      <w:lvlText w:val="•"/>
      <w:lvlJc w:val="left"/>
      <w:pPr>
        <w:ind w:left="4510" w:hanging="360"/>
      </w:pPr>
      <w:rPr>
        <w:rFonts w:hint="default"/>
        <w:lang w:val="en-US" w:eastAsia="en-US" w:bidi="ar-SA"/>
      </w:rPr>
    </w:lvl>
    <w:lvl w:ilvl="5" w:tplc="76F05394">
      <w:numFmt w:val="bullet"/>
      <w:lvlText w:val="•"/>
      <w:lvlJc w:val="left"/>
      <w:pPr>
        <w:ind w:left="5253" w:hanging="360"/>
      </w:pPr>
      <w:rPr>
        <w:rFonts w:hint="default"/>
        <w:lang w:val="en-US" w:eastAsia="en-US" w:bidi="ar-SA"/>
      </w:rPr>
    </w:lvl>
    <w:lvl w:ilvl="6" w:tplc="BBCE6D98">
      <w:numFmt w:val="bullet"/>
      <w:lvlText w:val="•"/>
      <w:lvlJc w:val="left"/>
      <w:pPr>
        <w:ind w:left="5995" w:hanging="360"/>
      </w:pPr>
      <w:rPr>
        <w:rFonts w:hint="default"/>
        <w:lang w:val="en-US" w:eastAsia="en-US" w:bidi="ar-SA"/>
      </w:rPr>
    </w:lvl>
    <w:lvl w:ilvl="7" w:tplc="CE0AEB86">
      <w:numFmt w:val="bullet"/>
      <w:lvlText w:val="•"/>
      <w:lvlJc w:val="left"/>
      <w:pPr>
        <w:ind w:left="6738" w:hanging="360"/>
      </w:pPr>
      <w:rPr>
        <w:rFonts w:hint="default"/>
        <w:lang w:val="en-US" w:eastAsia="en-US" w:bidi="ar-SA"/>
      </w:rPr>
    </w:lvl>
    <w:lvl w:ilvl="8" w:tplc="1F7E8404">
      <w:numFmt w:val="bullet"/>
      <w:lvlText w:val="•"/>
      <w:lvlJc w:val="left"/>
      <w:pPr>
        <w:ind w:left="7481" w:hanging="360"/>
      </w:pPr>
      <w:rPr>
        <w:rFonts w:hint="default"/>
        <w:lang w:val="en-US" w:eastAsia="en-US" w:bidi="ar-SA"/>
      </w:rPr>
    </w:lvl>
  </w:abstractNum>
  <w:abstractNum w:abstractNumId="1" w15:restartNumberingAfterBreak="0">
    <w:nsid w:val="5D706B97"/>
    <w:multiLevelType w:val="hybridMultilevel"/>
    <w:tmpl w:val="B0F07004"/>
    <w:lvl w:ilvl="0" w:tplc="DAF0AB70">
      <w:start w:val="1"/>
      <w:numFmt w:val="lowerRoman"/>
      <w:lvlText w:val="(%1)"/>
      <w:lvlJc w:val="left"/>
      <w:pPr>
        <w:ind w:left="1900" w:hanging="360"/>
        <w:jc w:val="left"/>
      </w:pPr>
      <w:rPr>
        <w:rFonts w:ascii="Carlito" w:eastAsia="Carlito" w:hAnsi="Carlito" w:cs="Carlito" w:hint="default"/>
        <w:spacing w:val="-2"/>
        <w:w w:val="100"/>
        <w:sz w:val="18"/>
        <w:szCs w:val="18"/>
        <w:lang w:val="en-US" w:eastAsia="en-US" w:bidi="ar-SA"/>
      </w:rPr>
    </w:lvl>
    <w:lvl w:ilvl="1" w:tplc="95463FD8">
      <w:numFmt w:val="bullet"/>
      <w:lvlText w:val="•"/>
      <w:lvlJc w:val="left"/>
      <w:pPr>
        <w:ind w:left="2606" w:hanging="360"/>
      </w:pPr>
      <w:rPr>
        <w:rFonts w:hint="default"/>
        <w:lang w:val="en-US" w:eastAsia="en-US" w:bidi="ar-SA"/>
      </w:rPr>
    </w:lvl>
    <w:lvl w:ilvl="2" w:tplc="CA246568">
      <w:numFmt w:val="bullet"/>
      <w:lvlText w:val="•"/>
      <w:lvlJc w:val="left"/>
      <w:pPr>
        <w:ind w:left="3313" w:hanging="360"/>
      </w:pPr>
      <w:rPr>
        <w:rFonts w:hint="default"/>
        <w:lang w:val="en-US" w:eastAsia="en-US" w:bidi="ar-SA"/>
      </w:rPr>
    </w:lvl>
    <w:lvl w:ilvl="3" w:tplc="DAC0AA56">
      <w:numFmt w:val="bullet"/>
      <w:lvlText w:val="•"/>
      <w:lvlJc w:val="left"/>
      <w:pPr>
        <w:ind w:left="4019" w:hanging="360"/>
      </w:pPr>
      <w:rPr>
        <w:rFonts w:hint="default"/>
        <w:lang w:val="en-US" w:eastAsia="en-US" w:bidi="ar-SA"/>
      </w:rPr>
    </w:lvl>
    <w:lvl w:ilvl="4" w:tplc="1340EBA4">
      <w:numFmt w:val="bullet"/>
      <w:lvlText w:val="•"/>
      <w:lvlJc w:val="left"/>
      <w:pPr>
        <w:ind w:left="4726" w:hanging="360"/>
      </w:pPr>
      <w:rPr>
        <w:rFonts w:hint="default"/>
        <w:lang w:val="en-US" w:eastAsia="en-US" w:bidi="ar-SA"/>
      </w:rPr>
    </w:lvl>
    <w:lvl w:ilvl="5" w:tplc="A6FEE332">
      <w:numFmt w:val="bullet"/>
      <w:lvlText w:val="•"/>
      <w:lvlJc w:val="left"/>
      <w:pPr>
        <w:ind w:left="5433" w:hanging="360"/>
      </w:pPr>
      <w:rPr>
        <w:rFonts w:hint="default"/>
        <w:lang w:val="en-US" w:eastAsia="en-US" w:bidi="ar-SA"/>
      </w:rPr>
    </w:lvl>
    <w:lvl w:ilvl="6" w:tplc="87262AD8">
      <w:numFmt w:val="bullet"/>
      <w:lvlText w:val="•"/>
      <w:lvlJc w:val="left"/>
      <w:pPr>
        <w:ind w:left="6139" w:hanging="360"/>
      </w:pPr>
      <w:rPr>
        <w:rFonts w:hint="default"/>
        <w:lang w:val="en-US" w:eastAsia="en-US" w:bidi="ar-SA"/>
      </w:rPr>
    </w:lvl>
    <w:lvl w:ilvl="7" w:tplc="ED78BB8E">
      <w:numFmt w:val="bullet"/>
      <w:lvlText w:val="•"/>
      <w:lvlJc w:val="left"/>
      <w:pPr>
        <w:ind w:left="6846" w:hanging="360"/>
      </w:pPr>
      <w:rPr>
        <w:rFonts w:hint="default"/>
        <w:lang w:val="en-US" w:eastAsia="en-US" w:bidi="ar-SA"/>
      </w:rPr>
    </w:lvl>
    <w:lvl w:ilvl="8" w:tplc="D0EEB40C">
      <w:numFmt w:val="bullet"/>
      <w:lvlText w:val="•"/>
      <w:lvlJc w:val="left"/>
      <w:pPr>
        <w:ind w:left="7553" w:hanging="360"/>
      </w:pPr>
      <w:rPr>
        <w:rFonts w:hint="default"/>
        <w:lang w:val="en-US" w:eastAsia="en-US" w:bidi="ar-SA"/>
      </w:rPr>
    </w:lvl>
  </w:abstractNum>
  <w:abstractNum w:abstractNumId="2" w15:restartNumberingAfterBreak="0">
    <w:nsid w:val="708E3C1C"/>
    <w:multiLevelType w:val="hybridMultilevel"/>
    <w:tmpl w:val="7360CA42"/>
    <w:lvl w:ilvl="0" w:tplc="ED381386">
      <w:start w:val="1"/>
      <w:numFmt w:val="decimal"/>
      <w:lvlText w:val="%1."/>
      <w:lvlJc w:val="left"/>
      <w:pPr>
        <w:ind w:left="460" w:hanging="360"/>
        <w:jc w:val="left"/>
      </w:pPr>
      <w:rPr>
        <w:rFonts w:ascii="Carlito" w:eastAsia="Carlito" w:hAnsi="Carlito" w:cs="Carlito" w:hint="default"/>
        <w:spacing w:val="-2"/>
        <w:w w:val="100"/>
        <w:sz w:val="18"/>
        <w:szCs w:val="18"/>
        <w:lang w:val="en-US" w:eastAsia="en-US" w:bidi="ar-SA"/>
      </w:rPr>
    </w:lvl>
    <w:lvl w:ilvl="1" w:tplc="4BA8F7B0">
      <w:numFmt w:val="bullet"/>
      <w:lvlText w:val=""/>
      <w:lvlJc w:val="left"/>
      <w:pPr>
        <w:ind w:left="1518" w:hanging="341"/>
      </w:pPr>
      <w:rPr>
        <w:rFonts w:ascii="Symbol" w:eastAsia="Symbol" w:hAnsi="Symbol" w:cs="Symbol" w:hint="default"/>
        <w:w w:val="100"/>
        <w:sz w:val="18"/>
        <w:szCs w:val="18"/>
        <w:lang w:val="en-US" w:eastAsia="en-US" w:bidi="ar-SA"/>
      </w:rPr>
    </w:lvl>
    <w:lvl w:ilvl="2" w:tplc="D2D01A6C">
      <w:numFmt w:val="bullet"/>
      <w:lvlText w:val="•"/>
      <w:lvlJc w:val="left"/>
      <w:pPr>
        <w:ind w:left="1540" w:hanging="341"/>
      </w:pPr>
      <w:rPr>
        <w:rFonts w:hint="default"/>
        <w:lang w:val="en-US" w:eastAsia="en-US" w:bidi="ar-SA"/>
      </w:rPr>
    </w:lvl>
    <w:lvl w:ilvl="3" w:tplc="19924DAE">
      <w:numFmt w:val="bullet"/>
      <w:lvlText w:val="•"/>
      <w:lvlJc w:val="left"/>
      <w:pPr>
        <w:ind w:left="1900" w:hanging="341"/>
      </w:pPr>
      <w:rPr>
        <w:rFonts w:hint="default"/>
        <w:lang w:val="en-US" w:eastAsia="en-US" w:bidi="ar-SA"/>
      </w:rPr>
    </w:lvl>
    <w:lvl w:ilvl="4" w:tplc="A1D28C8A">
      <w:numFmt w:val="bullet"/>
      <w:lvlText w:val="•"/>
      <w:lvlJc w:val="left"/>
      <w:pPr>
        <w:ind w:left="8160" w:hanging="341"/>
      </w:pPr>
      <w:rPr>
        <w:rFonts w:hint="default"/>
        <w:lang w:val="en-US" w:eastAsia="en-US" w:bidi="ar-SA"/>
      </w:rPr>
    </w:lvl>
    <w:lvl w:ilvl="5" w:tplc="20DE62A6">
      <w:numFmt w:val="bullet"/>
      <w:lvlText w:val="•"/>
      <w:lvlJc w:val="left"/>
      <w:pPr>
        <w:ind w:left="8294" w:hanging="341"/>
      </w:pPr>
      <w:rPr>
        <w:rFonts w:hint="default"/>
        <w:lang w:val="en-US" w:eastAsia="en-US" w:bidi="ar-SA"/>
      </w:rPr>
    </w:lvl>
    <w:lvl w:ilvl="6" w:tplc="FFC01164">
      <w:numFmt w:val="bullet"/>
      <w:lvlText w:val="•"/>
      <w:lvlJc w:val="left"/>
      <w:pPr>
        <w:ind w:left="8428" w:hanging="341"/>
      </w:pPr>
      <w:rPr>
        <w:rFonts w:hint="default"/>
        <w:lang w:val="en-US" w:eastAsia="en-US" w:bidi="ar-SA"/>
      </w:rPr>
    </w:lvl>
    <w:lvl w:ilvl="7" w:tplc="822AF5FE">
      <w:numFmt w:val="bullet"/>
      <w:lvlText w:val="•"/>
      <w:lvlJc w:val="left"/>
      <w:pPr>
        <w:ind w:left="8563" w:hanging="341"/>
      </w:pPr>
      <w:rPr>
        <w:rFonts w:hint="default"/>
        <w:lang w:val="en-US" w:eastAsia="en-US" w:bidi="ar-SA"/>
      </w:rPr>
    </w:lvl>
    <w:lvl w:ilvl="8" w:tplc="CF0EC2B0">
      <w:numFmt w:val="bullet"/>
      <w:lvlText w:val="•"/>
      <w:lvlJc w:val="left"/>
      <w:pPr>
        <w:ind w:left="8697" w:hanging="341"/>
      </w:pPr>
      <w:rPr>
        <w:rFonts w:hint="default"/>
        <w:lang w:val="en-US" w:eastAsia="en-US" w:bidi="ar-SA"/>
      </w:rPr>
    </w:lvl>
  </w:abstractNum>
  <w:abstractNum w:abstractNumId="3" w15:restartNumberingAfterBreak="0">
    <w:nsid w:val="7E3761D9"/>
    <w:multiLevelType w:val="hybridMultilevel"/>
    <w:tmpl w:val="2BBEA64A"/>
    <w:lvl w:ilvl="0" w:tplc="DAF22DCE">
      <w:numFmt w:val="bullet"/>
      <w:lvlText w:val=""/>
      <w:lvlJc w:val="left"/>
      <w:pPr>
        <w:ind w:left="1540" w:hanging="360"/>
      </w:pPr>
      <w:rPr>
        <w:rFonts w:ascii="Symbol" w:eastAsia="Symbol" w:hAnsi="Symbol" w:cs="Symbol" w:hint="default"/>
        <w:w w:val="100"/>
        <w:sz w:val="18"/>
        <w:szCs w:val="18"/>
        <w:lang w:val="en-US" w:eastAsia="en-US" w:bidi="ar-SA"/>
      </w:rPr>
    </w:lvl>
    <w:lvl w:ilvl="1" w:tplc="91F4BE00">
      <w:numFmt w:val="bullet"/>
      <w:lvlText w:val="•"/>
      <w:lvlJc w:val="left"/>
      <w:pPr>
        <w:ind w:left="2282" w:hanging="360"/>
      </w:pPr>
      <w:rPr>
        <w:rFonts w:hint="default"/>
        <w:lang w:val="en-US" w:eastAsia="en-US" w:bidi="ar-SA"/>
      </w:rPr>
    </w:lvl>
    <w:lvl w:ilvl="2" w:tplc="90CA04D0">
      <w:numFmt w:val="bullet"/>
      <w:lvlText w:val="•"/>
      <w:lvlJc w:val="left"/>
      <w:pPr>
        <w:ind w:left="3025" w:hanging="360"/>
      </w:pPr>
      <w:rPr>
        <w:rFonts w:hint="default"/>
        <w:lang w:val="en-US" w:eastAsia="en-US" w:bidi="ar-SA"/>
      </w:rPr>
    </w:lvl>
    <w:lvl w:ilvl="3" w:tplc="EB72024C">
      <w:numFmt w:val="bullet"/>
      <w:lvlText w:val="•"/>
      <w:lvlJc w:val="left"/>
      <w:pPr>
        <w:ind w:left="3767" w:hanging="360"/>
      </w:pPr>
      <w:rPr>
        <w:rFonts w:hint="default"/>
        <w:lang w:val="en-US" w:eastAsia="en-US" w:bidi="ar-SA"/>
      </w:rPr>
    </w:lvl>
    <w:lvl w:ilvl="4" w:tplc="5890E3D0">
      <w:numFmt w:val="bullet"/>
      <w:lvlText w:val="•"/>
      <w:lvlJc w:val="left"/>
      <w:pPr>
        <w:ind w:left="4510" w:hanging="360"/>
      </w:pPr>
      <w:rPr>
        <w:rFonts w:hint="default"/>
        <w:lang w:val="en-US" w:eastAsia="en-US" w:bidi="ar-SA"/>
      </w:rPr>
    </w:lvl>
    <w:lvl w:ilvl="5" w:tplc="6052C78A">
      <w:numFmt w:val="bullet"/>
      <w:lvlText w:val="•"/>
      <w:lvlJc w:val="left"/>
      <w:pPr>
        <w:ind w:left="5253" w:hanging="360"/>
      </w:pPr>
      <w:rPr>
        <w:rFonts w:hint="default"/>
        <w:lang w:val="en-US" w:eastAsia="en-US" w:bidi="ar-SA"/>
      </w:rPr>
    </w:lvl>
    <w:lvl w:ilvl="6" w:tplc="7528EFEE">
      <w:numFmt w:val="bullet"/>
      <w:lvlText w:val="•"/>
      <w:lvlJc w:val="left"/>
      <w:pPr>
        <w:ind w:left="5995" w:hanging="360"/>
      </w:pPr>
      <w:rPr>
        <w:rFonts w:hint="default"/>
        <w:lang w:val="en-US" w:eastAsia="en-US" w:bidi="ar-SA"/>
      </w:rPr>
    </w:lvl>
    <w:lvl w:ilvl="7" w:tplc="3B382AC0">
      <w:numFmt w:val="bullet"/>
      <w:lvlText w:val="•"/>
      <w:lvlJc w:val="left"/>
      <w:pPr>
        <w:ind w:left="6738" w:hanging="360"/>
      </w:pPr>
      <w:rPr>
        <w:rFonts w:hint="default"/>
        <w:lang w:val="en-US" w:eastAsia="en-US" w:bidi="ar-SA"/>
      </w:rPr>
    </w:lvl>
    <w:lvl w:ilvl="8" w:tplc="68806504">
      <w:numFmt w:val="bullet"/>
      <w:lvlText w:val="•"/>
      <w:lvlJc w:val="left"/>
      <w:pPr>
        <w:ind w:left="7481" w:hanging="360"/>
      </w:pPr>
      <w:rPr>
        <w:rFonts w:hint="default"/>
        <w:lang w:val="en-U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E3"/>
    <w:rsid w:val="000C48DE"/>
    <w:rsid w:val="0028210C"/>
    <w:rsid w:val="003718CB"/>
    <w:rsid w:val="006C6E78"/>
    <w:rsid w:val="007D405B"/>
    <w:rsid w:val="00C344E3"/>
    <w:rsid w:val="00C367D1"/>
    <w:rsid w:val="00C739BD"/>
    <w:rsid w:val="00D16503"/>
    <w:rsid w:val="00D43626"/>
    <w:rsid w:val="00DF0CCF"/>
    <w:rsid w:val="00EC5327"/>
    <w:rsid w:val="00FB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639D6"/>
  <w15:docId w15:val="{2231E2BD-032B-4645-B35B-C08C1C4A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905" w:right="905"/>
      <w:jc w:val="center"/>
    </w:pPr>
    <w:rPr>
      <w:sz w:val="36"/>
      <w:szCs w:val="36"/>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05B"/>
    <w:pPr>
      <w:tabs>
        <w:tab w:val="center" w:pos="4513"/>
        <w:tab w:val="right" w:pos="9026"/>
      </w:tabs>
    </w:pPr>
  </w:style>
  <w:style w:type="character" w:customStyle="1" w:styleId="HeaderChar">
    <w:name w:val="Header Char"/>
    <w:basedOn w:val="DefaultParagraphFont"/>
    <w:link w:val="Header"/>
    <w:uiPriority w:val="99"/>
    <w:rsid w:val="007D405B"/>
    <w:rPr>
      <w:rFonts w:ascii="Carlito" w:eastAsia="Carlito" w:hAnsi="Carlito" w:cs="Carlito"/>
    </w:rPr>
  </w:style>
  <w:style w:type="paragraph" w:styleId="Footer">
    <w:name w:val="footer"/>
    <w:basedOn w:val="Normal"/>
    <w:link w:val="FooterChar"/>
    <w:uiPriority w:val="99"/>
    <w:unhideWhenUsed/>
    <w:rsid w:val="007D405B"/>
    <w:pPr>
      <w:tabs>
        <w:tab w:val="center" w:pos="4513"/>
        <w:tab w:val="right" w:pos="9026"/>
      </w:tabs>
    </w:pPr>
  </w:style>
  <w:style w:type="character" w:customStyle="1" w:styleId="FooterChar">
    <w:name w:val="Footer Char"/>
    <w:basedOn w:val="DefaultParagraphFont"/>
    <w:link w:val="Footer"/>
    <w:uiPriority w:val="99"/>
    <w:rsid w:val="007D405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4</cp:revision>
  <dcterms:created xsi:type="dcterms:W3CDTF">2021-01-25T13:11:00Z</dcterms:created>
  <dcterms:modified xsi:type="dcterms:W3CDTF">2021-01-28T11:28:00Z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2021-01-22T00:00:00Z</vt:filetime>
  </property>
</Properties>
</file>